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07FFC" w14:textId="77777777" w:rsidR="009A388B" w:rsidRPr="0057564B" w:rsidRDefault="009A388B" w:rsidP="009A388B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57564B">
        <w:rPr>
          <w:rFonts w:ascii="Traditional Arabic" w:hAnsi="Traditional Arabic" w:hint="cs"/>
          <w:b/>
          <w:bCs/>
          <w:sz w:val="28"/>
          <w:szCs w:val="28"/>
          <w:rtl/>
        </w:rPr>
        <w:t>[دخول</w:t>
      </w:r>
      <w:r w:rsidRPr="0057564B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b/>
          <w:bCs/>
          <w:sz w:val="28"/>
          <w:szCs w:val="28"/>
          <w:rtl/>
        </w:rPr>
        <w:t>النساء</w:t>
      </w:r>
      <w:r w:rsidRPr="0057564B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b/>
          <w:bCs/>
          <w:sz w:val="28"/>
          <w:szCs w:val="28"/>
          <w:rtl/>
        </w:rPr>
        <w:t>في</w:t>
      </w:r>
      <w:r w:rsidRPr="0057564B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b/>
          <w:bCs/>
          <w:sz w:val="28"/>
          <w:szCs w:val="28"/>
          <w:rtl/>
        </w:rPr>
        <w:t>خطاب</w:t>
      </w:r>
      <w:r w:rsidRPr="0057564B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b/>
          <w:bCs/>
          <w:sz w:val="28"/>
          <w:szCs w:val="28"/>
          <w:rtl/>
        </w:rPr>
        <w:t>الرجال]</w:t>
      </w:r>
    </w:p>
    <w:p w14:paraId="5E6A95FA" w14:textId="77777777" w:rsidR="009A388B" w:rsidRDefault="009A388B" w:rsidP="009A388B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>
        <w:rPr>
          <w:rFonts w:ascii="Traditional Arabic" w:hAnsi="Traditional Arabic" w:hint="cs"/>
          <w:sz w:val="28"/>
          <w:szCs w:val="28"/>
          <w:rtl/>
        </w:rPr>
        <w:t>النساء يدخلن فيما يخص الرجال من الخطاب إذا كان بصيغة جمع التكسير،</w:t>
      </w:r>
    </w:p>
    <w:p w14:paraId="3A0870D6" w14:textId="77777777" w:rsidR="009A388B" w:rsidRDefault="009A388B" w:rsidP="009A388B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>
        <w:rPr>
          <w:rFonts w:ascii="Traditional Arabic" w:hAnsi="Traditional Arabic" w:hint="cs"/>
          <w:sz w:val="28"/>
          <w:szCs w:val="28"/>
          <w:rtl/>
        </w:rPr>
        <w:t xml:space="preserve">واختلف أهل العلم في </w:t>
      </w:r>
      <w:r w:rsidRPr="0057564B">
        <w:rPr>
          <w:rFonts w:ascii="Traditional Arabic" w:hAnsi="Traditional Arabic" w:hint="cs"/>
          <w:sz w:val="28"/>
          <w:szCs w:val="28"/>
          <w:rtl/>
        </w:rPr>
        <w:t>دخول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النساء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فيما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يخص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الرجال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من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جمع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المذكر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السالم،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ف</w:t>
      </w:r>
      <w:r w:rsidRPr="0057564B">
        <w:rPr>
          <w:rFonts w:ascii="Traditional Arabic" w:hAnsi="Traditional Arabic" w:hint="cs"/>
          <w:sz w:val="28"/>
          <w:szCs w:val="28"/>
          <w:rtl/>
        </w:rPr>
        <w:t>إذا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قيل</w:t>
      </w:r>
      <w:r w:rsidRPr="0057564B">
        <w:rPr>
          <w:rFonts w:ascii="Traditional Arabic" w:hAnsi="Traditional Arabic"/>
          <w:sz w:val="28"/>
          <w:szCs w:val="28"/>
          <w:rtl/>
        </w:rPr>
        <w:t xml:space="preserve">: </w:t>
      </w:r>
      <w:r>
        <w:rPr>
          <w:rFonts w:ascii="Traditional Arabic" w:hAnsi="Traditional Arabic" w:hint="cs"/>
          <w:sz w:val="28"/>
          <w:szCs w:val="28"/>
          <w:rtl/>
        </w:rPr>
        <w:t>"</w:t>
      </w:r>
      <w:r w:rsidRPr="0057564B">
        <w:rPr>
          <w:rFonts w:ascii="Traditional Arabic" w:hAnsi="Traditional Arabic" w:hint="cs"/>
          <w:sz w:val="28"/>
          <w:szCs w:val="28"/>
          <w:rtl/>
        </w:rPr>
        <w:t>المؤمنون</w:t>
      </w:r>
      <w:r>
        <w:rPr>
          <w:rFonts w:ascii="Traditional Arabic" w:hAnsi="Traditional Arabic" w:hint="cs"/>
          <w:sz w:val="28"/>
          <w:szCs w:val="28"/>
          <w:rtl/>
        </w:rPr>
        <w:t>"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 xml:space="preserve">-مثلا- هل </w:t>
      </w:r>
      <w:r w:rsidRPr="0057564B">
        <w:rPr>
          <w:rFonts w:ascii="Traditional Arabic" w:hAnsi="Traditional Arabic" w:hint="cs"/>
          <w:sz w:val="28"/>
          <w:szCs w:val="28"/>
          <w:rtl/>
        </w:rPr>
        <w:t>يدخل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فيهم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النساء؟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ف</w:t>
      </w:r>
      <w:r w:rsidRPr="0057564B">
        <w:rPr>
          <w:rFonts w:ascii="Traditional Arabic" w:hAnsi="Traditional Arabic" w:hint="cs"/>
          <w:sz w:val="28"/>
          <w:szCs w:val="28"/>
          <w:rtl/>
        </w:rPr>
        <w:t>المسألة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خلافية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في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دخول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النساء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في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جمع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المذكر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السالم</w:t>
      </w:r>
      <w:r>
        <w:rPr>
          <w:rFonts w:ascii="Traditional Arabic" w:hAnsi="Traditional Arabic" w:hint="cs"/>
          <w:sz w:val="28"/>
          <w:szCs w:val="28"/>
          <w:rtl/>
        </w:rPr>
        <w:t xml:space="preserve">؛ </w:t>
      </w:r>
      <w:r w:rsidRPr="0057564B">
        <w:rPr>
          <w:rFonts w:ascii="Traditional Arabic" w:hAnsi="Traditional Arabic" w:hint="cs"/>
          <w:sz w:val="28"/>
          <w:szCs w:val="28"/>
          <w:rtl/>
        </w:rPr>
        <w:t>لأن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لهن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ما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يقابله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من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جمع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المؤنث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السالم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57564B">
        <w:rPr>
          <w:rFonts w:ascii="Traditional Arabic" w:hAnsi="Traditional Arabic" w:hint="cs"/>
          <w:sz w:val="28"/>
          <w:szCs w:val="28"/>
          <w:rtl/>
        </w:rPr>
        <w:t xml:space="preserve"> فمن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العلماء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من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يقول</w:t>
      </w:r>
      <w:r w:rsidRPr="0057564B">
        <w:rPr>
          <w:rFonts w:ascii="Traditional Arabic" w:hAnsi="Traditional Arabic"/>
          <w:sz w:val="28"/>
          <w:szCs w:val="28"/>
          <w:rtl/>
        </w:rPr>
        <w:t xml:space="preserve">: </w:t>
      </w:r>
      <w:r w:rsidRPr="0057564B">
        <w:rPr>
          <w:rFonts w:ascii="Traditional Arabic" w:hAnsi="Traditional Arabic" w:hint="cs"/>
          <w:sz w:val="28"/>
          <w:szCs w:val="28"/>
          <w:rtl/>
        </w:rPr>
        <w:t>تدخل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النساء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في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جمع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المذكر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السالم،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وقد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جاء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في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مريم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بخصوصها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في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آخر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سورة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التحريم</w:t>
      </w:r>
      <w:r>
        <w:rPr>
          <w:rFonts w:ascii="Traditional Arabic" w:hAnsi="Traditional Arabic" w:hint="cs"/>
          <w:sz w:val="28"/>
          <w:szCs w:val="28"/>
          <w:rtl/>
        </w:rPr>
        <w:t>: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D732D2">
        <w:rPr>
          <w:rFonts w:ascii="Traditional Arabic" w:hAnsi="Traditional Arabic"/>
          <w:color w:val="FF0000"/>
          <w:sz w:val="28"/>
          <w:szCs w:val="28"/>
          <w:rtl/>
        </w:rPr>
        <w:t>{</w:t>
      </w:r>
      <w:r w:rsidRPr="00D732D2">
        <w:rPr>
          <w:rFonts w:ascii="Traditional Arabic" w:hAnsi="Traditional Arabic" w:hint="cs"/>
          <w:color w:val="FF0000"/>
          <w:sz w:val="28"/>
          <w:szCs w:val="28"/>
          <w:rtl/>
        </w:rPr>
        <w:t>وَكَانَتْ</w:t>
      </w:r>
      <w:r w:rsidRPr="00D732D2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D732D2">
        <w:rPr>
          <w:rFonts w:ascii="Traditional Arabic" w:hAnsi="Traditional Arabic" w:hint="cs"/>
          <w:color w:val="FF0000"/>
          <w:sz w:val="28"/>
          <w:szCs w:val="28"/>
          <w:rtl/>
        </w:rPr>
        <w:t>مِنَ</w:t>
      </w:r>
      <w:r w:rsidRPr="00D732D2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D732D2">
        <w:rPr>
          <w:rFonts w:ascii="Traditional Arabic" w:hAnsi="Traditional Arabic" w:hint="cs"/>
          <w:color w:val="FF0000"/>
          <w:sz w:val="28"/>
          <w:szCs w:val="28"/>
          <w:rtl/>
        </w:rPr>
        <w:t>الْقَانِتِينَ</w:t>
      </w:r>
      <w:r w:rsidRPr="00D732D2">
        <w:rPr>
          <w:rFonts w:ascii="Traditional Arabic" w:hAnsi="Traditional Arabic"/>
          <w:color w:val="FF0000"/>
          <w:sz w:val="28"/>
          <w:szCs w:val="28"/>
          <w:rtl/>
        </w:rPr>
        <w:t>}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9E6D75">
        <w:rPr>
          <w:rFonts w:ascii="Traditional Arabic" w:hAnsi="Traditional Arabic"/>
          <w:sz w:val="20"/>
          <w:szCs w:val="20"/>
          <w:rtl/>
        </w:rPr>
        <w:t xml:space="preserve">[(12) </w:t>
      </w:r>
      <w:r w:rsidRPr="009E6D75">
        <w:rPr>
          <w:rFonts w:ascii="Traditional Arabic" w:hAnsi="Traditional Arabic" w:hint="cs"/>
          <w:sz w:val="20"/>
          <w:szCs w:val="20"/>
          <w:rtl/>
        </w:rPr>
        <w:t>سورة</w:t>
      </w:r>
      <w:r w:rsidRPr="009E6D75">
        <w:rPr>
          <w:rFonts w:ascii="Traditional Arabic" w:hAnsi="Traditional Arabic"/>
          <w:sz w:val="20"/>
          <w:szCs w:val="20"/>
          <w:rtl/>
        </w:rPr>
        <w:t xml:space="preserve"> </w:t>
      </w:r>
      <w:r w:rsidRPr="009E6D75">
        <w:rPr>
          <w:rFonts w:ascii="Traditional Arabic" w:hAnsi="Traditional Arabic" w:hint="cs"/>
          <w:sz w:val="20"/>
          <w:szCs w:val="20"/>
          <w:rtl/>
        </w:rPr>
        <w:t>التحريم</w:t>
      </w:r>
      <w:r w:rsidRPr="009E6D75">
        <w:rPr>
          <w:rFonts w:ascii="Traditional Arabic" w:hAnsi="Traditional Arabic"/>
          <w:sz w:val="20"/>
          <w:szCs w:val="20"/>
          <w:rtl/>
        </w:rPr>
        <w:t>]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ولم يق</w:t>
      </w:r>
      <w:r w:rsidRPr="0057564B">
        <w:rPr>
          <w:rFonts w:ascii="Traditional Arabic" w:hAnsi="Traditional Arabic" w:hint="cs"/>
          <w:sz w:val="28"/>
          <w:szCs w:val="28"/>
          <w:rtl/>
        </w:rPr>
        <w:t>ل</w:t>
      </w:r>
      <w:r w:rsidRPr="0057564B">
        <w:rPr>
          <w:rFonts w:ascii="Traditional Arabic" w:hAnsi="Traditional Arabic"/>
          <w:sz w:val="28"/>
          <w:szCs w:val="28"/>
          <w:rtl/>
        </w:rPr>
        <w:t xml:space="preserve">: </w:t>
      </w:r>
      <w:r w:rsidRPr="0057564B">
        <w:rPr>
          <w:rFonts w:ascii="Traditional Arabic" w:hAnsi="Traditional Arabic" w:hint="cs"/>
          <w:sz w:val="28"/>
          <w:szCs w:val="28"/>
          <w:rtl/>
        </w:rPr>
        <w:t>وكانت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من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القانتات،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فدخلت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في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جمع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المذكر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السالم،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و</w:t>
      </w:r>
      <w:r>
        <w:rPr>
          <w:rFonts w:ascii="Traditional Arabic" w:hAnsi="Traditional Arabic" w:hint="cs"/>
          <w:sz w:val="28"/>
          <w:szCs w:val="28"/>
          <w:rtl/>
        </w:rPr>
        <w:t xml:space="preserve">قال بهذا </w:t>
      </w:r>
      <w:r w:rsidRPr="0057564B">
        <w:rPr>
          <w:rFonts w:ascii="Traditional Arabic" w:hAnsi="Traditional Arabic" w:hint="cs"/>
          <w:sz w:val="28"/>
          <w:szCs w:val="28"/>
          <w:rtl/>
        </w:rPr>
        <w:t>جمع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من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العلماء</w:t>
      </w:r>
      <w:r>
        <w:rPr>
          <w:rFonts w:ascii="Traditional Arabic" w:hAnsi="Traditional Arabic" w:hint="cs"/>
          <w:sz w:val="28"/>
          <w:szCs w:val="28"/>
          <w:rtl/>
        </w:rPr>
        <w:t xml:space="preserve">. </w:t>
      </w:r>
      <w:r w:rsidRPr="0057564B">
        <w:rPr>
          <w:rFonts w:ascii="Traditional Arabic" w:hAnsi="Traditional Arabic" w:hint="cs"/>
          <w:sz w:val="28"/>
          <w:szCs w:val="28"/>
          <w:rtl/>
        </w:rPr>
        <w:t>وقيل</w:t>
      </w:r>
      <w:r w:rsidRPr="0057564B">
        <w:rPr>
          <w:rFonts w:ascii="Traditional Arabic" w:hAnsi="Traditional Arabic"/>
          <w:sz w:val="28"/>
          <w:szCs w:val="28"/>
          <w:rtl/>
        </w:rPr>
        <w:t xml:space="preserve">: </w:t>
      </w:r>
      <w:r w:rsidRPr="0057564B">
        <w:rPr>
          <w:rFonts w:ascii="Traditional Arabic" w:hAnsi="Traditional Arabic" w:hint="cs"/>
          <w:sz w:val="28"/>
          <w:szCs w:val="28"/>
          <w:rtl/>
        </w:rPr>
        <w:t>لا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يدخل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النساء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في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جمع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المذكر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 xml:space="preserve">السالم </w:t>
      </w:r>
      <w:r w:rsidRPr="0057564B">
        <w:rPr>
          <w:rFonts w:ascii="Traditional Arabic" w:hAnsi="Traditional Arabic" w:hint="cs"/>
          <w:sz w:val="28"/>
          <w:szCs w:val="28"/>
          <w:rtl/>
        </w:rPr>
        <w:t>إلا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ب</w:t>
      </w:r>
      <w:r w:rsidRPr="0057564B">
        <w:rPr>
          <w:rFonts w:ascii="Traditional Arabic" w:hAnsi="Traditional Arabic" w:hint="cs"/>
          <w:sz w:val="28"/>
          <w:szCs w:val="28"/>
          <w:rtl/>
        </w:rPr>
        <w:t>دليل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خارجي،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وإلا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لو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دخل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النساء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في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جمع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المذكر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السالم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لما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احتيج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إلى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قوله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تعالى</w:t>
      </w:r>
      <w:r w:rsidRPr="0057564B">
        <w:rPr>
          <w:rFonts w:ascii="Traditional Arabic" w:hAnsi="Traditional Arabic"/>
          <w:sz w:val="28"/>
          <w:szCs w:val="28"/>
          <w:rtl/>
        </w:rPr>
        <w:t xml:space="preserve">: </w:t>
      </w:r>
      <w:r w:rsidRPr="00D732D2">
        <w:rPr>
          <w:rFonts w:ascii="Traditional Arabic" w:hAnsi="Traditional Arabic"/>
          <w:color w:val="FF0000"/>
          <w:sz w:val="28"/>
          <w:szCs w:val="28"/>
          <w:rtl/>
        </w:rPr>
        <w:t>{</w:t>
      </w:r>
      <w:r w:rsidRPr="00D732D2">
        <w:rPr>
          <w:rFonts w:ascii="Traditional Arabic" w:hAnsi="Traditional Arabic" w:hint="cs"/>
          <w:color w:val="FF0000"/>
          <w:sz w:val="28"/>
          <w:szCs w:val="28"/>
          <w:rtl/>
        </w:rPr>
        <w:t>وَقُل</w:t>
      </w:r>
      <w:r w:rsidRPr="00D732D2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D732D2">
        <w:rPr>
          <w:rFonts w:ascii="Traditional Arabic" w:hAnsi="Traditional Arabic" w:hint="cs"/>
          <w:color w:val="FF0000"/>
          <w:sz w:val="28"/>
          <w:szCs w:val="28"/>
          <w:rtl/>
        </w:rPr>
        <w:t>لِّلْمُؤْمِنَاتِ</w:t>
      </w:r>
      <w:r w:rsidRPr="00D732D2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D732D2">
        <w:rPr>
          <w:rFonts w:ascii="Traditional Arabic" w:hAnsi="Traditional Arabic" w:hint="cs"/>
          <w:color w:val="FF0000"/>
          <w:sz w:val="28"/>
          <w:szCs w:val="28"/>
          <w:rtl/>
        </w:rPr>
        <w:t>يَغْضُضْنَ</w:t>
      </w:r>
      <w:r w:rsidRPr="00D732D2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D732D2">
        <w:rPr>
          <w:rFonts w:ascii="Traditional Arabic" w:hAnsi="Traditional Arabic" w:hint="cs"/>
          <w:color w:val="FF0000"/>
          <w:sz w:val="28"/>
          <w:szCs w:val="28"/>
          <w:rtl/>
        </w:rPr>
        <w:t>مِنْ</w:t>
      </w:r>
      <w:r w:rsidRPr="00D732D2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D732D2">
        <w:rPr>
          <w:rFonts w:ascii="Traditional Arabic" w:hAnsi="Traditional Arabic" w:hint="cs"/>
          <w:color w:val="FF0000"/>
          <w:sz w:val="28"/>
          <w:szCs w:val="28"/>
          <w:rtl/>
        </w:rPr>
        <w:t>أَبْصَارِهِنَّ</w:t>
      </w:r>
      <w:r w:rsidRPr="00D732D2">
        <w:rPr>
          <w:rFonts w:ascii="Traditional Arabic" w:hAnsi="Traditional Arabic"/>
          <w:color w:val="FF0000"/>
          <w:sz w:val="28"/>
          <w:szCs w:val="28"/>
          <w:rtl/>
        </w:rPr>
        <w:t>}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9E6D75">
        <w:rPr>
          <w:rFonts w:ascii="Traditional Arabic" w:hAnsi="Traditional Arabic"/>
          <w:sz w:val="20"/>
          <w:szCs w:val="20"/>
          <w:rtl/>
        </w:rPr>
        <w:t xml:space="preserve">[(31) </w:t>
      </w:r>
      <w:r w:rsidRPr="009E6D75">
        <w:rPr>
          <w:rFonts w:ascii="Traditional Arabic" w:hAnsi="Traditional Arabic" w:hint="cs"/>
          <w:sz w:val="20"/>
          <w:szCs w:val="20"/>
          <w:rtl/>
        </w:rPr>
        <w:t>سورة</w:t>
      </w:r>
      <w:r w:rsidRPr="009E6D75">
        <w:rPr>
          <w:rFonts w:ascii="Traditional Arabic" w:hAnsi="Traditional Arabic"/>
          <w:sz w:val="20"/>
          <w:szCs w:val="20"/>
          <w:rtl/>
        </w:rPr>
        <w:t xml:space="preserve"> </w:t>
      </w:r>
      <w:r w:rsidRPr="009E6D75">
        <w:rPr>
          <w:rFonts w:ascii="Traditional Arabic" w:hAnsi="Traditional Arabic" w:hint="cs"/>
          <w:sz w:val="20"/>
          <w:szCs w:val="20"/>
          <w:rtl/>
        </w:rPr>
        <w:t>النــور</w:t>
      </w:r>
      <w:r w:rsidRPr="009E6D75">
        <w:rPr>
          <w:rFonts w:ascii="Traditional Arabic" w:hAnsi="Traditional Arabic"/>
          <w:sz w:val="20"/>
          <w:szCs w:val="20"/>
          <w:rtl/>
        </w:rPr>
        <w:t>]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يكفي</w:t>
      </w:r>
      <w:r>
        <w:rPr>
          <w:rFonts w:ascii="Traditional Arabic" w:hAnsi="Traditional Arabic" w:hint="cs"/>
          <w:sz w:val="28"/>
          <w:szCs w:val="28"/>
          <w:rtl/>
        </w:rPr>
        <w:t xml:space="preserve"> قوله تعالى: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D732D2">
        <w:rPr>
          <w:rFonts w:ascii="Traditional Arabic" w:hAnsi="Traditional Arabic"/>
          <w:color w:val="FF0000"/>
          <w:sz w:val="28"/>
          <w:szCs w:val="28"/>
          <w:rtl/>
        </w:rPr>
        <w:t>{</w:t>
      </w:r>
      <w:r w:rsidRPr="00D732D2">
        <w:rPr>
          <w:rFonts w:ascii="Traditional Arabic" w:hAnsi="Traditional Arabic" w:hint="cs"/>
          <w:color w:val="FF0000"/>
          <w:sz w:val="28"/>
          <w:szCs w:val="28"/>
          <w:rtl/>
        </w:rPr>
        <w:t>قُل</w:t>
      </w:r>
      <w:r w:rsidRPr="00D732D2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D732D2">
        <w:rPr>
          <w:rFonts w:ascii="Traditional Arabic" w:hAnsi="Traditional Arabic" w:hint="cs"/>
          <w:color w:val="FF0000"/>
          <w:sz w:val="28"/>
          <w:szCs w:val="28"/>
          <w:rtl/>
        </w:rPr>
        <w:t>لِّلْمُؤْمِنِينَ</w:t>
      </w:r>
      <w:r w:rsidRPr="00D732D2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D732D2">
        <w:rPr>
          <w:rFonts w:ascii="Traditional Arabic" w:hAnsi="Traditional Arabic" w:hint="cs"/>
          <w:color w:val="FF0000"/>
          <w:sz w:val="28"/>
          <w:szCs w:val="28"/>
          <w:rtl/>
        </w:rPr>
        <w:t>يَغُضُّوا</w:t>
      </w:r>
      <w:r w:rsidRPr="00D732D2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D732D2">
        <w:rPr>
          <w:rFonts w:ascii="Traditional Arabic" w:hAnsi="Traditional Arabic" w:hint="cs"/>
          <w:color w:val="FF0000"/>
          <w:sz w:val="28"/>
          <w:szCs w:val="28"/>
          <w:rtl/>
        </w:rPr>
        <w:t>مِنْ</w:t>
      </w:r>
      <w:r w:rsidRPr="00D732D2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D732D2">
        <w:rPr>
          <w:rFonts w:ascii="Traditional Arabic" w:hAnsi="Traditional Arabic" w:hint="cs"/>
          <w:color w:val="FF0000"/>
          <w:sz w:val="28"/>
          <w:szCs w:val="28"/>
          <w:rtl/>
        </w:rPr>
        <w:t>أَبْصَارِهِمْ</w:t>
      </w:r>
      <w:r w:rsidRPr="00D732D2">
        <w:rPr>
          <w:rFonts w:ascii="Traditional Arabic" w:hAnsi="Traditional Arabic"/>
          <w:color w:val="FF0000"/>
          <w:sz w:val="28"/>
          <w:szCs w:val="28"/>
          <w:rtl/>
        </w:rPr>
        <w:t>}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9E6D75">
        <w:rPr>
          <w:rFonts w:ascii="Traditional Arabic" w:hAnsi="Traditional Arabic"/>
          <w:sz w:val="20"/>
          <w:szCs w:val="20"/>
          <w:rtl/>
        </w:rPr>
        <w:t xml:space="preserve">[(30) </w:t>
      </w:r>
      <w:r w:rsidRPr="009E6D75">
        <w:rPr>
          <w:rFonts w:ascii="Traditional Arabic" w:hAnsi="Traditional Arabic" w:hint="cs"/>
          <w:sz w:val="20"/>
          <w:szCs w:val="20"/>
          <w:rtl/>
        </w:rPr>
        <w:t>سورة</w:t>
      </w:r>
      <w:r w:rsidRPr="009E6D75">
        <w:rPr>
          <w:rFonts w:ascii="Traditional Arabic" w:hAnsi="Traditional Arabic"/>
          <w:sz w:val="20"/>
          <w:szCs w:val="20"/>
          <w:rtl/>
        </w:rPr>
        <w:t xml:space="preserve"> </w:t>
      </w:r>
      <w:r w:rsidRPr="009E6D75">
        <w:rPr>
          <w:rFonts w:ascii="Traditional Arabic" w:hAnsi="Traditional Arabic" w:hint="cs"/>
          <w:sz w:val="20"/>
          <w:szCs w:val="20"/>
          <w:rtl/>
        </w:rPr>
        <w:t>النــور</w:t>
      </w:r>
      <w:r w:rsidRPr="009E6D75">
        <w:rPr>
          <w:rFonts w:ascii="Traditional Arabic" w:hAnsi="Traditional Arabic"/>
          <w:sz w:val="20"/>
          <w:szCs w:val="20"/>
          <w:rtl/>
        </w:rPr>
        <w:t>]</w:t>
      </w:r>
      <w:r w:rsidRPr="0057564B">
        <w:rPr>
          <w:rFonts w:ascii="Traditional Arabic" w:hAnsi="Traditional Arabic" w:hint="cs"/>
          <w:sz w:val="28"/>
          <w:szCs w:val="28"/>
          <w:rtl/>
        </w:rPr>
        <w:t>،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و</w:t>
      </w:r>
      <w:r w:rsidRPr="0057564B">
        <w:rPr>
          <w:rFonts w:ascii="Traditional Arabic" w:hAnsi="Traditional Arabic" w:hint="cs"/>
          <w:sz w:val="28"/>
          <w:szCs w:val="28"/>
          <w:rtl/>
        </w:rPr>
        <w:t>في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بعض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الآيات</w:t>
      </w:r>
      <w:r w:rsidRPr="0057564B">
        <w:rPr>
          <w:rFonts w:ascii="Traditional Arabic" w:hAnsi="Traditional Arabic"/>
          <w:sz w:val="28"/>
          <w:szCs w:val="28"/>
          <w:rtl/>
        </w:rPr>
        <w:t xml:space="preserve">: </w:t>
      </w:r>
      <w:r w:rsidRPr="00D732D2">
        <w:rPr>
          <w:rFonts w:ascii="Traditional Arabic" w:hAnsi="Traditional Arabic"/>
          <w:color w:val="FF0000"/>
          <w:sz w:val="28"/>
          <w:szCs w:val="28"/>
          <w:rtl/>
        </w:rPr>
        <w:t>{</w:t>
      </w:r>
      <w:r w:rsidRPr="00D732D2">
        <w:rPr>
          <w:rFonts w:ascii="Traditional Arabic" w:hAnsi="Traditional Arabic" w:hint="cs"/>
          <w:color w:val="FF0000"/>
          <w:sz w:val="28"/>
          <w:szCs w:val="28"/>
          <w:rtl/>
        </w:rPr>
        <w:t>الْمُؤْمِنِينَ</w:t>
      </w:r>
      <w:r w:rsidRPr="00D732D2">
        <w:rPr>
          <w:rFonts w:ascii="Traditional Arabic" w:hAnsi="Traditional Arabic"/>
          <w:color w:val="FF0000"/>
          <w:sz w:val="28"/>
          <w:szCs w:val="28"/>
          <w:rtl/>
        </w:rPr>
        <w:t xml:space="preserve"> وَالْمُؤْمِنَاتِ}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9E6D75">
        <w:rPr>
          <w:rFonts w:ascii="Traditional Arabic" w:hAnsi="Traditional Arabic"/>
          <w:sz w:val="20"/>
          <w:szCs w:val="20"/>
          <w:rtl/>
        </w:rPr>
        <w:t xml:space="preserve">[(35) </w:t>
      </w:r>
      <w:r w:rsidRPr="009E6D75">
        <w:rPr>
          <w:rFonts w:ascii="Traditional Arabic" w:hAnsi="Traditional Arabic" w:hint="cs"/>
          <w:sz w:val="20"/>
          <w:szCs w:val="20"/>
          <w:rtl/>
        </w:rPr>
        <w:t>سورة</w:t>
      </w:r>
      <w:r w:rsidRPr="009E6D75">
        <w:rPr>
          <w:rFonts w:ascii="Traditional Arabic" w:hAnsi="Traditional Arabic"/>
          <w:sz w:val="20"/>
          <w:szCs w:val="20"/>
          <w:rtl/>
        </w:rPr>
        <w:t xml:space="preserve"> </w:t>
      </w:r>
      <w:r w:rsidRPr="009E6D75">
        <w:rPr>
          <w:rFonts w:ascii="Traditional Arabic" w:hAnsi="Traditional Arabic" w:hint="cs"/>
          <w:sz w:val="20"/>
          <w:szCs w:val="20"/>
          <w:rtl/>
        </w:rPr>
        <w:t>الأحزاب</w:t>
      </w:r>
      <w:r w:rsidRPr="009E6D75">
        <w:rPr>
          <w:rFonts w:ascii="Traditional Arabic" w:hAnsi="Traditional Arabic"/>
          <w:sz w:val="20"/>
          <w:szCs w:val="20"/>
          <w:rtl/>
        </w:rPr>
        <w:t>]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و</w:t>
      </w:r>
      <w:r w:rsidRPr="0057564B">
        <w:rPr>
          <w:rFonts w:ascii="Traditional Arabic" w:hAnsi="Traditional Arabic" w:hint="cs"/>
          <w:sz w:val="28"/>
          <w:szCs w:val="28"/>
          <w:rtl/>
        </w:rPr>
        <w:t>العطف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يقتضي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المغايرة،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فالمؤمنات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غير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المؤمنين،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فدل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العطف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على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عدم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دخول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النساء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في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جمع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الرجال</w:t>
      </w:r>
      <w:r>
        <w:rPr>
          <w:rFonts w:ascii="Traditional Arabic" w:hAnsi="Traditional Arabic" w:hint="cs"/>
          <w:sz w:val="28"/>
          <w:szCs w:val="28"/>
          <w:rtl/>
        </w:rPr>
        <w:t>.</w:t>
      </w:r>
    </w:p>
    <w:p w14:paraId="0E89EF52" w14:textId="70DD937C" w:rsidR="00DB33AD" w:rsidRDefault="009A388B" w:rsidP="00D732D2">
      <w:pPr>
        <w:jc w:val="both"/>
      </w:pPr>
      <w:r>
        <w:rPr>
          <w:rFonts w:ascii="Traditional Arabic" w:hAnsi="Traditional Arabic" w:hint="cs"/>
          <w:sz w:val="28"/>
          <w:szCs w:val="28"/>
          <w:rtl/>
        </w:rPr>
        <w:t>و</w:t>
      </w:r>
      <w:r w:rsidRPr="0057564B">
        <w:rPr>
          <w:rFonts w:ascii="Traditional Arabic" w:hAnsi="Traditional Arabic" w:hint="cs"/>
          <w:sz w:val="28"/>
          <w:szCs w:val="28"/>
          <w:rtl/>
        </w:rPr>
        <w:t>لا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شك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في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دخول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النساء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في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خطاب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الرجال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إذا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دلت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القرينة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على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ذلك،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ولا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يخالف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فيه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أحد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إذا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دلت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القرينة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على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ذلك،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فالأصل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أن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الخطاب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بـ</w:t>
      </w:r>
      <w:r w:rsidRPr="0057564B">
        <w:rPr>
          <w:rFonts w:ascii="Traditional Arabic" w:hAnsi="Traditional Arabic"/>
          <w:sz w:val="28"/>
          <w:szCs w:val="28"/>
          <w:rtl/>
        </w:rPr>
        <w:t>(</w:t>
      </w:r>
      <w:r w:rsidRPr="0057564B">
        <w:rPr>
          <w:rFonts w:ascii="Traditional Arabic" w:hAnsi="Traditional Arabic" w:hint="cs"/>
          <w:sz w:val="28"/>
          <w:szCs w:val="28"/>
          <w:rtl/>
        </w:rPr>
        <w:t>يا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أيها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الذين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آمنوا</w:t>
      </w:r>
      <w:r w:rsidRPr="0057564B">
        <w:rPr>
          <w:rFonts w:ascii="Traditional Arabic" w:hAnsi="Traditional Arabic"/>
          <w:sz w:val="28"/>
          <w:szCs w:val="28"/>
          <w:rtl/>
        </w:rPr>
        <w:t xml:space="preserve">) </w:t>
      </w:r>
      <w:r w:rsidRPr="0057564B">
        <w:rPr>
          <w:rFonts w:ascii="Traditional Arabic" w:hAnsi="Traditional Arabic" w:hint="cs"/>
          <w:sz w:val="28"/>
          <w:szCs w:val="28"/>
          <w:rtl/>
        </w:rPr>
        <w:t>يدخل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فيه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الرجال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والنساء،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والخطاب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للجميع،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نعم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إذا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دل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الدليل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على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عدم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دخول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النساء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في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الخطاب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و</w:t>
      </w:r>
      <w:r w:rsidRPr="0057564B">
        <w:rPr>
          <w:rFonts w:ascii="Traditional Arabic" w:hAnsi="Traditional Arabic" w:hint="cs"/>
          <w:sz w:val="28"/>
          <w:szCs w:val="28"/>
          <w:rtl/>
        </w:rPr>
        <w:t>دلت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القرينة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على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ذلك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فلا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تدخل،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و</w:t>
      </w:r>
      <w:r w:rsidRPr="0057564B">
        <w:rPr>
          <w:rFonts w:ascii="Traditional Arabic" w:hAnsi="Traditional Arabic" w:hint="cs"/>
          <w:sz w:val="28"/>
          <w:szCs w:val="28"/>
          <w:rtl/>
        </w:rPr>
        <w:t>يبقى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إذا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تجرد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الخطاب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عن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القرينة فهل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تدخل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الصديقات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في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الصديقين</w:t>
      </w:r>
      <w:r>
        <w:rPr>
          <w:rFonts w:ascii="Traditional Arabic" w:hAnsi="Traditional Arabic" w:hint="cs"/>
          <w:sz w:val="28"/>
          <w:szCs w:val="28"/>
          <w:rtl/>
        </w:rPr>
        <w:t>؟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هذا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محل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الخلاف، لأن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النساء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شقائق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الرجال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في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الأحكام،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فأي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خطابٍ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يتجه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للرجال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ف</w:t>
      </w:r>
      <w:r>
        <w:rPr>
          <w:rFonts w:ascii="Traditional Arabic" w:hAnsi="Traditional Arabic" w:hint="cs"/>
          <w:sz w:val="28"/>
          <w:szCs w:val="28"/>
          <w:rtl/>
        </w:rPr>
        <w:t>ت</w:t>
      </w:r>
      <w:r w:rsidRPr="0057564B">
        <w:rPr>
          <w:rFonts w:ascii="Traditional Arabic" w:hAnsi="Traditional Arabic" w:hint="cs"/>
          <w:sz w:val="28"/>
          <w:szCs w:val="28"/>
          <w:rtl/>
        </w:rPr>
        <w:t>طالب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به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النساء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إلا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ما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دل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الدليل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على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استثنائه؛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لأن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الشرع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نزل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للرجال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والنساء،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لكل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مكلف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من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الرجال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والنساء،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نعم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إذا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كان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هناك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ما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يخص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المرأة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من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أحكام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تستثنى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من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خطاب</w:t>
      </w:r>
      <w:r w:rsidRPr="0057564B">
        <w:rPr>
          <w:rFonts w:ascii="Traditional Arabic" w:hAnsi="Traditional Arabic"/>
          <w:sz w:val="28"/>
          <w:szCs w:val="28"/>
          <w:rtl/>
        </w:rPr>
        <w:t xml:space="preserve"> </w:t>
      </w:r>
      <w:r w:rsidRPr="0057564B">
        <w:rPr>
          <w:rFonts w:ascii="Traditional Arabic" w:hAnsi="Traditional Arabic" w:hint="cs"/>
          <w:sz w:val="28"/>
          <w:szCs w:val="28"/>
          <w:rtl/>
        </w:rPr>
        <w:t>الرجال</w:t>
      </w:r>
      <w:r>
        <w:rPr>
          <w:rFonts w:ascii="Traditional Arabic" w:hAnsi="Traditional Arabic" w:hint="cs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0A"/>
    <w:rsid w:val="00530D34"/>
    <w:rsid w:val="006E515B"/>
    <w:rsid w:val="0095429D"/>
    <w:rsid w:val="009A388B"/>
    <w:rsid w:val="00AE3A0A"/>
    <w:rsid w:val="00D732D2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8516D-1891-4D57-B339-8F2AF403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88B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4</cp:revision>
  <dcterms:created xsi:type="dcterms:W3CDTF">2021-07-22T04:19:00Z</dcterms:created>
  <dcterms:modified xsi:type="dcterms:W3CDTF">2021-07-22T15:26:00Z</dcterms:modified>
</cp:coreProperties>
</file>