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16D" w:rsidRPr="00D32B6A" w:rsidRDefault="004C116D" w:rsidP="00AA2E84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D32B6A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أثر الخلاف بين الجمهور والأحناف في تكبيرة الإحرام</w:t>
      </w:r>
    </w:p>
    <w:p w:rsidR="004C116D" w:rsidRPr="00D32B6A" w:rsidRDefault="004C116D" w:rsidP="00AA2E84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D32B6A">
        <w:rPr>
          <w:rFonts w:cs="Simplified Arabic" w:hint="cs"/>
          <w:color w:val="365F91" w:themeColor="accent1" w:themeShade="BF"/>
          <w:sz w:val="28"/>
          <w:szCs w:val="28"/>
          <w:rtl/>
        </w:rPr>
        <w:t>صفة الصلاة وشروطها وأركانها ومبطلاتها</w:t>
      </w:r>
    </w:p>
    <w:p w:rsidR="004A5030" w:rsidRDefault="004C116D" w:rsidP="00AA2E84">
      <w:pPr>
        <w:jc w:val="both"/>
      </w:pPr>
      <w:r w:rsidRPr="006747BE">
        <w:rPr>
          <w:rFonts w:ascii="Simplified Arabic" w:hAnsi="Simplified Arabic" w:cs="Simplified Arabic"/>
          <w:sz w:val="28"/>
          <w:szCs w:val="28"/>
          <w:rtl/>
        </w:rPr>
        <w:t>جماهير أهل العلم أن تكبيرة الإحرام ركن، وعند الحنفية شرط،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الصلا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>ة لا تصح بدون تكبيرة الإحرام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سواءً قلنا: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إنها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ركن أو شرط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الفر</w:t>
      </w:r>
      <w:r>
        <w:rPr>
          <w:rFonts w:ascii="Simplified Arabic" w:hAnsi="Simplified Arabic" w:cs="Simplified Arabic"/>
          <w:sz w:val="28"/>
          <w:szCs w:val="28"/>
          <w:rtl/>
        </w:rPr>
        <w:t>ق بين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القولين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أن الركن داخل الماهية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والشرط خارج الماهية،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ولا يمنع م</w:t>
      </w:r>
      <w:r>
        <w:rPr>
          <w:rFonts w:ascii="Simplified Arabic" w:hAnsi="Simplified Arabic" w:cs="Simplified Arabic"/>
          <w:sz w:val="28"/>
          <w:szCs w:val="28"/>
          <w:rtl/>
        </w:rPr>
        <w:t>ن استمراره داخل الصلاة كونه شرط</w:t>
      </w:r>
      <w:r>
        <w:rPr>
          <w:rFonts w:ascii="Simplified Arabic" w:hAnsi="Simplified Arabic" w:cs="Simplified Arabic" w:hint="cs"/>
          <w:sz w:val="28"/>
          <w:szCs w:val="28"/>
          <w:rtl/>
        </w:rPr>
        <w:t>اً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، لكن الأصل أن وجوده خارج الصلاة، وعلى هذا لو كب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ر تكبيرة الإحرام وهو حامل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نجاسة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فوضع النجاسة مع نهاية التكبير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صلاته عند الجمهور باطلة؛ لأن</w:t>
      </w:r>
      <w:r>
        <w:rPr>
          <w:rFonts w:ascii="Simplified Arabic" w:hAnsi="Simplified Arabic" w:cs="Simplified Arabic"/>
          <w:sz w:val="28"/>
          <w:szCs w:val="28"/>
          <w:rtl/>
        </w:rPr>
        <w:t>ه حمل النجاسة وهو داخل الصلاة،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عند الأحناف ف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صلاته صحيحة؛ لأن حمله للنجاسة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كان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خارج الصلاة،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وكذلك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لو قلب نيته قبل نهاية التكبير إلى فرض أو إلى نفل صحت عند الحنفية، ولا تصح عند الجمهور.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219EE14-2EA6-4CBD-B2DD-56DBB73668D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7428E62-61CA-455A-8F58-EB89AE23D22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9851EEE-1F88-43B9-9BA8-394290626C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DEC3E02-7252-4529-B3E8-65EF55F6829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092ACC2-4E12-49E6-9022-46E1C9527D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DB1160F-95C3-42FB-92D8-44AA803F9A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AD"/>
    <w:rsid w:val="004A5030"/>
    <w:rsid w:val="004C116D"/>
    <w:rsid w:val="0073647D"/>
    <w:rsid w:val="00A333AD"/>
    <w:rsid w:val="00AA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5A1DA6-A4B0-4DF4-9573-A78EC6110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16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2016-05-12T08:37:00Z</dcterms:created>
  <dcterms:modified xsi:type="dcterms:W3CDTF">2017-01-02T18:27:00Z</dcterms:modified>
</cp:coreProperties>
</file>