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DE5" w:rsidRDefault="008B4DE5" w:rsidP="00C10773">
      <w:pPr>
        <w:framePr w:hSpace="180" w:wrap="around" w:vAnchor="text" w:hAnchor="margin" w:xAlign="center" w:y="258"/>
        <w:suppressOverlap/>
        <w:jc w:val="center"/>
        <w:rPr>
          <w:rFonts w:ascii="Simplified Arabic" w:hAnsi="Simplified Arabic" w:cs="Simplified Arabic"/>
          <w:color w:val="0070C0"/>
          <w:sz w:val="28"/>
          <w:szCs w:val="28"/>
          <w:rtl/>
        </w:rPr>
      </w:pPr>
      <w:r>
        <w:rPr>
          <w:rFonts w:ascii="Simplified Arabic" w:hAnsi="Simplified Arabic" w:cs="Simplified Arabic"/>
          <w:color w:val="0070C0"/>
          <w:sz w:val="28"/>
          <w:szCs w:val="28"/>
          <w:rtl/>
        </w:rPr>
        <w:t>اقتران العبودية بالرسالة في وصف النبي –صلى الله عليه وسلم-</w:t>
      </w:r>
    </w:p>
    <w:p w:rsidR="008B4DE5" w:rsidRDefault="008B4DE5" w:rsidP="00C10773">
      <w:pPr>
        <w:framePr w:hSpace="180" w:wrap="around" w:vAnchor="text" w:hAnchor="margin" w:xAlign="center" w:y="258"/>
        <w:suppressOverlap/>
        <w:jc w:val="center"/>
        <w:rPr>
          <w:rFonts w:ascii="Simplified Arabic" w:hAnsi="Simplified Arabic" w:cs="Simplified Arabic"/>
          <w:noProof/>
          <w:spacing w:val="-2"/>
          <w:position w:val="6"/>
          <w:sz w:val="28"/>
          <w:szCs w:val="28"/>
          <w:rtl/>
        </w:rPr>
      </w:pPr>
      <w:r>
        <w:rPr>
          <w:rFonts w:ascii="Simplified Arabic" w:hAnsi="Simplified Arabic" w:cs="Simplified Arabic"/>
          <w:color w:val="0070C0"/>
          <w:sz w:val="28"/>
          <w:szCs w:val="28"/>
          <w:rtl/>
        </w:rPr>
        <w:t>الإيمان</w:t>
      </w:r>
    </w:p>
    <w:p w:rsidR="00260E3C" w:rsidRPr="00C759A4" w:rsidRDefault="008B4DE5" w:rsidP="00C10773">
      <w:pPr>
        <w:jc w:val="both"/>
      </w:pPr>
      <w:r>
        <w:rPr>
          <w:rFonts w:ascii="Simplified Arabic" w:hAnsi="Simplified Arabic" w:cs="Simplified Arabic"/>
          <w:noProof/>
          <w:spacing w:val="-2"/>
          <w:position w:val="6"/>
          <w:sz w:val="28"/>
          <w:szCs w:val="28"/>
          <w:rtl/>
        </w:rPr>
        <w:t>قرَنَ شيخ الإسلام –رحمه الله-  بينَ العبوديةِ والرسالةِ في قوله: (عبدُه ورسولُه)؛ لأن اللهَ وصفَه في أشرفِ المواقفِ والمقامات بأنه عبدُه، والرسالةُ وظيفتُه -ﷺ-، فبقوله: (عبده) يُبيِّنُ أنه عبدٌ مربوبٌ للهِ، لا يجوزُ أن يُصْرَفَ له شيءٌ من خصائصِ</w:t>
      </w:r>
      <w:bookmarkStart w:id="0" w:name="_GoBack"/>
      <w:bookmarkEnd w:id="0"/>
      <w:r>
        <w:rPr>
          <w:rFonts w:ascii="Simplified Arabic" w:hAnsi="Simplified Arabic" w:cs="Simplified Arabic"/>
          <w:noProof/>
          <w:spacing w:val="-2"/>
          <w:position w:val="6"/>
          <w:sz w:val="28"/>
          <w:szCs w:val="28"/>
          <w:rtl/>
        </w:rPr>
        <w:t xml:space="preserve"> الربِّ –سبحانه وتعالى- ليردَّ بذلك على الغُلاةِ. وبقوله: (رسولُه) يُبيِّنُ أنه رسولٌ مرسلٌ من عند الله؛ ليردَّ بذلك على الجُفاةِ، ففي الجمعِ بينَ العبوديةِ والرسالةِ توسطٌ في الأمورِ، وهذا هو الذي وفَّقَ اللهُ له أهلَ السنةِ والجماعةِ فلم يَغْلوا في النبيِّ -ﷺ-، وامتثلوا قولَه: </w:t>
      </w:r>
      <w:r>
        <w:rPr>
          <w:rFonts w:ascii="Simplified Arabic" w:hAnsi="Simplified Arabic" w:cs="Simplified Arabic"/>
          <w:b/>
          <w:bCs/>
          <w:noProof/>
          <w:color w:val="0000FF"/>
          <w:spacing w:val="-2"/>
          <w:position w:val="6"/>
          <w:sz w:val="28"/>
          <w:szCs w:val="28"/>
          <w:rtl/>
        </w:rPr>
        <w:t xml:space="preserve">«لا تُطْروني كما أَطْرَتِ النصارى ابنَ مريمَ» </w:t>
      </w:r>
      <w:r>
        <w:rPr>
          <w:rFonts w:ascii="Simplified Arabic" w:hAnsi="Simplified Arabic" w:cs="Simplified Arabic"/>
          <w:noProof/>
          <w:color w:val="0000FF"/>
          <w:spacing w:val="-2"/>
          <w:position w:val="6"/>
          <w:sz w:val="28"/>
          <w:szCs w:val="28"/>
        </w:rPr>
        <w:t>]</w:t>
      </w:r>
      <w:r>
        <w:rPr>
          <w:rFonts w:ascii="Simplified Arabic" w:hAnsi="Simplified Arabic" w:cs="Simplified Arabic"/>
          <w:noProof/>
          <w:color w:val="0000FF"/>
          <w:spacing w:val="-2"/>
          <w:position w:val="6"/>
          <w:sz w:val="28"/>
          <w:szCs w:val="28"/>
          <w:rtl/>
        </w:rPr>
        <w:t>البخاري: 3445</w:t>
      </w:r>
      <w:r>
        <w:rPr>
          <w:rFonts w:ascii="Simplified Arabic" w:hAnsi="Simplified Arabic" w:cs="Simplified Arabic"/>
          <w:noProof/>
          <w:color w:val="0000FF"/>
          <w:spacing w:val="-2"/>
          <w:position w:val="6"/>
          <w:sz w:val="28"/>
          <w:szCs w:val="28"/>
        </w:rPr>
        <w:t>[</w:t>
      </w:r>
      <w:r>
        <w:rPr>
          <w:rFonts w:ascii="Simplified Arabic" w:hAnsi="Simplified Arabic" w:cs="Simplified Arabic"/>
          <w:noProof/>
          <w:spacing w:val="-2"/>
          <w:position w:val="6"/>
          <w:sz w:val="28"/>
          <w:szCs w:val="28"/>
          <w:rtl/>
        </w:rPr>
        <w:t xml:space="preserve"> ، وقولَه -ﷺ-: </w:t>
      </w:r>
      <w:r>
        <w:rPr>
          <w:rFonts w:ascii="Simplified Arabic" w:hAnsi="Simplified Arabic" w:cs="Simplified Arabic"/>
          <w:b/>
          <w:bCs/>
          <w:noProof/>
          <w:color w:val="0000FF"/>
          <w:spacing w:val="-2"/>
          <w:position w:val="6"/>
          <w:sz w:val="28"/>
          <w:szCs w:val="28"/>
          <w:rtl/>
        </w:rPr>
        <w:t xml:space="preserve">«إيَّاكم والغلوَّ» </w:t>
      </w:r>
      <w:r>
        <w:rPr>
          <w:rFonts w:ascii="Simplified Arabic" w:hAnsi="Simplified Arabic" w:cs="Simplified Arabic"/>
          <w:noProof/>
          <w:color w:val="0000FF"/>
          <w:spacing w:val="-2"/>
          <w:position w:val="6"/>
          <w:sz w:val="28"/>
          <w:szCs w:val="28"/>
        </w:rPr>
        <w:t>]</w:t>
      </w:r>
      <w:r>
        <w:rPr>
          <w:rFonts w:ascii="Simplified Arabic" w:hAnsi="Simplified Arabic" w:cs="Simplified Arabic"/>
          <w:noProof/>
          <w:color w:val="0000FF"/>
          <w:spacing w:val="-2"/>
          <w:position w:val="6"/>
          <w:sz w:val="28"/>
          <w:szCs w:val="28"/>
          <w:rtl/>
        </w:rPr>
        <w:t>النسائي: 3057</w:t>
      </w:r>
      <w:r>
        <w:rPr>
          <w:rFonts w:ascii="Simplified Arabic" w:hAnsi="Simplified Arabic" w:cs="Simplified Arabic"/>
          <w:noProof/>
          <w:color w:val="0000FF"/>
          <w:spacing w:val="-2"/>
          <w:position w:val="6"/>
          <w:sz w:val="28"/>
          <w:szCs w:val="28"/>
        </w:rPr>
        <w:t>[</w:t>
      </w:r>
      <w:r>
        <w:rPr>
          <w:rFonts w:ascii="Simplified Arabic" w:hAnsi="Simplified Arabic" w:cs="Simplified Arabic"/>
          <w:noProof/>
          <w:spacing w:val="-2"/>
          <w:position w:val="6"/>
          <w:sz w:val="28"/>
          <w:szCs w:val="28"/>
          <w:rtl/>
        </w:rPr>
        <w:t>، ولم يجفوا في حقه-ﷺ-، بل حفظوا له حقه من غير غلو ولا جفاء.</w:t>
      </w:r>
    </w:p>
    <w:sectPr w:rsidR="00260E3C" w:rsidRPr="00C759A4"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0DB7D3F3-9FB1-45AF-9E9E-90A1E0338BB8}"/>
    <w:embedBold r:id="rId2" w:fontKey="{C647256C-9A44-4806-BE2C-FCAEF9680B3A}"/>
  </w:font>
  <w:font w:name="Arial">
    <w:panose1 w:val="020B0604020202020204"/>
    <w:charset w:val="00"/>
    <w:family w:val="swiss"/>
    <w:pitch w:val="variable"/>
    <w:sig w:usb0="E0002EFF" w:usb1="C0007843" w:usb2="00000009" w:usb3="00000000" w:csb0="000001FF" w:csb1="00000000"/>
    <w:embedRegular r:id="rId3" w:fontKey="{F4D6174D-802D-4458-B855-0C733D069F62}"/>
  </w:font>
  <w:font w:name="Traditional Arabic">
    <w:panose1 w:val="02020603050405020304"/>
    <w:charset w:val="00"/>
    <w:family w:val="roman"/>
    <w:pitch w:val="variable"/>
    <w:sig w:usb0="00002003" w:usb1="80000000" w:usb2="00000008" w:usb3="00000000" w:csb0="00000041" w:csb1="00000000"/>
    <w:embedRegular r:id="rId4" w:fontKey="{18D859ED-CF40-42CF-B712-E51D5E588E55}"/>
  </w:font>
  <w:font w:name="Times New Roman">
    <w:panose1 w:val="02020603050405020304"/>
    <w:charset w:val="00"/>
    <w:family w:val="roman"/>
    <w:pitch w:val="variable"/>
    <w:sig w:usb0="E0002EFF" w:usb1="C000785B" w:usb2="00000009" w:usb3="00000000" w:csb0="000001FF" w:csb1="00000000"/>
    <w:embedRegular r:id="rId5" w:fontKey="{FA803572-658A-4052-9AA6-61C1BCAC32E0}"/>
  </w:font>
  <w:font w:name="Simplified Arabic">
    <w:panose1 w:val="02020603050405020304"/>
    <w:charset w:val="00"/>
    <w:family w:val="roman"/>
    <w:pitch w:val="variable"/>
    <w:sig w:usb0="00002003" w:usb1="80000000" w:usb2="00000008" w:usb3="00000000" w:csb0="00000041" w:csb1="00000000"/>
    <w:embedRegular r:id="rId6" w:fontKey="{C18FB2FB-04C2-4F2B-80D2-D636D2EF69EC}"/>
    <w:embedBold r:id="rId7" w:fontKey="{1E0F0F42-7143-4689-8830-755074EE4C63}"/>
  </w:font>
  <w:font w:name="Cambria">
    <w:panose1 w:val="02040503050406030204"/>
    <w:charset w:val="00"/>
    <w:family w:val="roman"/>
    <w:pitch w:val="variable"/>
    <w:sig w:usb0="E00002FF" w:usb1="400004FF" w:usb2="00000000" w:usb3="00000000" w:csb0="0000019F" w:csb1="00000000"/>
    <w:embedRegular r:id="rId8" w:fontKey="{ACE6B1BA-82AE-4941-BDA7-3AC4321A280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75B"/>
    <w:rsid w:val="00260E3C"/>
    <w:rsid w:val="004B675B"/>
    <w:rsid w:val="0073647D"/>
    <w:rsid w:val="008B4DE5"/>
    <w:rsid w:val="00C10773"/>
    <w:rsid w:val="00C759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8A2ED9-43EB-4792-A118-206EB9A37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9A4"/>
    <w:pPr>
      <w:bidi/>
      <w:spacing w:after="160" w:line="254"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59A4"/>
    <w:pPr>
      <w:spacing w:after="0" w:line="240" w:lineRule="auto"/>
    </w:pPr>
    <w:rPr>
      <w:rFonts w:cs="Traditional Arabic"/>
      <w:sz w:val="36"/>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19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113</Words>
  <Characters>649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6</cp:revision>
  <dcterms:created xsi:type="dcterms:W3CDTF">2017-07-02T11:29:00Z</dcterms:created>
  <dcterms:modified xsi:type="dcterms:W3CDTF">2017-07-24T19:36:00Z</dcterms:modified>
</cp:coreProperties>
</file>