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6E5" w:rsidRPr="00887394" w:rsidRDefault="009866E5" w:rsidP="00D77D3C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Theme="minorBidi" w:hAnsiTheme="minorBidi" w:cstheme="minorBidi"/>
          <w:noProof/>
          <w:color w:val="0070C0"/>
          <w:spacing w:val="-2"/>
          <w:position w:val="6"/>
          <w:sz w:val="28"/>
          <w:szCs w:val="28"/>
          <w:rtl/>
        </w:rPr>
      </w:pPr>
      <w:r w:rsidRPr="00887394">
        <w:rPr>
          <w:rFonts w:asciiTheme="minorBidi" w:hAnsiTheme="minorBidi" w:cstheme="minorBidi" w:hint="cs"/>
          <w:noProof/>
          <w:color w:val="0070C0"/>
          <w:spacing w:val="-2"/>
          <w:position w:val="6"/>
          <w:sz w:val="28"/>
          <w:szCs w:val="28"/>
          <w:rtl/>
        </w:rPr>
        <w:t>التحذير من النيل من الصحابة</w:t>
      </w:r>
    </w:p>
    <w:p w:rsidR="009866E5" w:rsidRPr="00887394" w:rsidRDefault="009866E5" w:rsidP="00D77D3C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Theme="minorBidi" w:hAnsiTheme="minorBidi" w:cstheme="minorBidi"/>
          <w:noProof/>
          <w:color w:val="0070C0"/>
          <w:spacing w:val="-2"/>
          <w:position w:val="6"/>
          <w:sz w:val="28"/>
          <w:szCs w:val="28"/>
          <w:rtl/>
        </w:rPr>
      </w:pPr>
      <w:r>
        <w:rPr>
          <w:rFonts w:asciiTheme="minorBidi" w:hAnsiTheme="minorBidi" w:cstheme="minorBidi" w:hint="cs"/>
          <w:noProof/>
          <w:color w:val="0070C0"/>
          <w:spacing w:val="-2"/>
          <w:position w:val="6"/>
          <w:sz w:val="28"/>
          <w:szCs w:val="28"/>
          <w:rtl/>
        </w:rPr>
        <w:t>أحكام عامة</w:t>
      </w:r>
    </w:p>
    <w:p w:rsidR="00CF11E6" w:rsidRPr="00D77D3C" w:rsidRDefault="009866E5" w:rsidP="00D77D3C">
      <w:pPr>
        <w:jc w:val="both"/>
        <w:rPr>
          <w:rFonts w:ascii="Simplified Arabic" w:hAnsi="Simplified Arabic" w:cs="Simplified Arabic"/>
        </w:rPr>
      </w:pPr>
      <w:r w:rsidRPr="00D77D3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قولِه –صلى الله عليه وسلم-: </w:t>
      </w:r>
      <w:r w:rsidRPr="00D77D3C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«لا تسبُّوا أصحابِي»</w:t>
      </w:r>
      <w:r w:rsidRPr="00D77D3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D77D3C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D77D3C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  <w:rtl/>
        </w:rPr>
        <w:t xml:space="preserve">البخاري:3673 </w:t>
      </w:r>
      <w:r w:rsidRPr="00D77D3C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 w:rsidRPr="00D77D3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هذا الخطاب من النَّبيِّ -ﷺ- عامٌّ لجميع الأمةِ بما في ذلك الصحابةُ أنفسُهم؛ وسبب ورود هذا الحديث أنه حصَلَ نِزاعٌ بينَ خالدِ بنِ الوليدِ وعبدِ الرحمنِ بنِ عوفٍ </w:t>
      </w:r>
      <w:r w:rsidRPr="00D77D3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  <w:lang w:bidi="ar-EG"/>
        </w:rPr>
        <w:t>–رضي الله عنهما-</w:t>
      </w:r>
      <w:r w:rsidRPr="00D77D3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، فقال النبيُّ -ﷺ- مخاطبًا خالدًا: </w:t>
      </w:r>
      <w:r w:rsidRPr="00D77D3C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«لا تسبُّوا أصحابِي»</w:t>
      </w:r>
      <w:r w:rsidRPr="00D77D3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، ومُواجهته بمثلِ هذا الكلامِ -وهو ممَّن</w:t>
      </w:r>
      <w:bookmarkStart w:id="0" w:name="_GoBack"/>
      <w:bookmarkEnd w:id="0"/>
      <w:r w:rsidRPr="00D77D3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نصَرَ اللهُ به الإسلامَ- دليلٌ على عظم شأن الصَّحابةِ وفضلهم وتقدمهم على من سواهم؛ فإذا كان النَّبيُّ -ﷺ- يأخذُ من بعض الصَّحابةِ لبعضٍ، فكيفَ بمَن يتعرَّضُ لسبِّهم ممَّن لا وزنَ له في الإسلامِ.</w:t>
      </w:r>
    </w:p>
    <w:sectPr w:rsidR="00CF11E6" w:rsidRPr="00D77D3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C3F7941-F5E0-4C52-AD24-9BF48437506C}"/>
    <w:embedBold r:id="rId2" w:fontKey="{92D7D92C-2CCC-485D-A626-8A21366E5B6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95680373-2AAF-424C-8EF7-A1B3A743DB0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5558166-6302-4CE5-95CA-835780039F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8FCB30D-4580-4BB9-A75E-54202D39448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B1BA18D-A841-4C5E-A892-DFF887C464AE}"/>
    <w:embedBold r:id="rId7" w:fontKey="{30170BE2-D186-46AA-B7D9-1138E72BFB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FD1A17C-F03D-45D0-892B-97D0B9014B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B14"/>
    <w:rsid w:val="0073647D"/>
    <w:rsid w:val="00824B14"/>
    <w:rsid w:val="009866E5"/>
    <w:rsid w:val="00CF11E6"/>
    <w:rsid w:val="00D7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349113-AE70-437C-A859-0A5772DD5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6E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2017-07-02T07:53:00Z</dcterms:created>
  <dcterms:modified xsi:type="dcterms:W3CDTF">2017-07-24T19:43:00Z</dcterms:modified>
</cp:coreProperties>
</file>