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1BB" w:rsidRPr="001E5777" w:rsidRDefault="00A701BB" w:rsidP="00304FFB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صوم من رأى هلال رمضان ورُدَّت شهادته</w:t>
      </w:r>
    </w:p>
    <w:p w:rsidR="00A701BB" w:rsidRPr="001E5777" w:rsidRDefault="00A701BB" w:rsidP="00304FFB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1E5777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أحكام الصيام</w:t>
      </w:r>
    </w:p>
    <w:p w:rsidR="004D193F" w:rsidRDefault="00A701BB" w:rsidP="00304FFB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 xml:space="preserve">من رأى 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>هلال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رمضان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رُدَّت شهادته و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>لم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عمل </w:t>
      </w:r>
      <w:r>
        <w:rPr>
          <w:rFonts w:ascii="Simplified Arabic" w:hAnsi="Simplified Arabic" w:cs="Simplified Arabic" w:hint="cs"/>
          <w:sz w:val="28"/>
          <w:szCs w:val="28"/>
          <w:rtl/>
        </w:rPr>
        <w:t>بها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>فإنه لا يصوم وحده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 ولا يفطر وحده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 بل يصوم مع الناس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 ويفطر مع الناس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 لحديث </w:t>
      </w:r>
      <w:r w:rsidRPr="00AE1A9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«الصوم يوم تصومون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AE1A9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والفطر يوم ت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Pr="00AE1A9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فطرون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AE1A9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والأضحى يوم ت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ُ</w:t>
      </w:r>
      <w:r w:rsidRPr="00AE1A9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ضحّون»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A3665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]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الترمذي</w:t>
      </w:r>
      <w:r w:rsidRPr="005A366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697</w:t>
      </w:r>
      <w:r w:rsidRPr="005A3665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[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يحتاط فيصوم؛ لأن </w:t>
      </w:r>
      <w:r w:rsidRPr="0050188C">
        <w:rPr>
          <w:rFonts w:ascii="Simplified Arabic" w:hAnsi="Simplified Arabic" w:cs="Simplified Arabic" w:hint="cs"/>
          <w:sz w:val="28"/>
          <w:szCs w:val="28"/>
          <w:rtl/>
        </w:rPr>
        <w:t>الاحتياط في مثل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</w:t>
      </w:r>
      <w:r w:rsidRPr="0050188C">
        <w:rPr>
          <w:rFonts w:ascii="Simplified Arabic" w:hAnsi="Simplified Arabic" w:cs="Simplified Arabic" w:hint="cs"/>
          <w:sz w:val="28"/>
          <w:szCs w:val="28"/>
          <w:rtl/>
        </w:rPr>
        <w:t xml:space="preserve"> يوقع في مخالفة النص الصحيح الثابت المرفوع إلى النبي -عليه الصلاة والسلام</w:t>
      </w:r>
      <w:r>
        <w:rPr>
          <w:rFonts w:ascii="Simplified Arabic" w:hAnsi="Simplified Arabic" w:cs="Simplified Arabic" w:hint="cs"/>
          <w:sz w:val="28"/>
          <w:szCs w:val="28"/>
          <w:rtl/>
        </w:rPr>
        <w:t>-، والاحتياط إذا أدى إلى ترك مأمور أو فعل محظور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فإن الاحتياط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 ترك هذا الاحتياط كما قال شيخ الإسلام ابن تيمية -رحمه الله تعالى-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أما 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>فعل ابن عمر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رضي الله عنهما- من أنه إذا كان يوم الثلاثين من شعبان وحال دون الهلال غيم أو قتر احتاط وأصبح صائمًا، فهذا 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اجتهاد منه في مقابل </w:t>
      </w:r>
      <w:r w:rsidRPr="003121B6">
        <w:rPr>
          <w:rFonts w:ascii="Simplified Arabic" w:hAnsi="Simplified Arabic" w:cs="Simplified Arabic"/>
          <w:sz w:val="28"/>
          <w:szCs w:val="28"/>
          <w:rtl/>
        </w:rPr>
        <w:t>النص</w:t>
      </w:r>
      <w:r w:rsidRPr="003121B6">
        <w:rPr>
          <w:rFonts w:ascii="Simplified Arabic" w:hAnsi="Simplified Arabic" w:cs="Simplified Arabic" w:hint="cs"/>
          <w:sz w:val="28"/>
          <w:szCs w:val="28"/>
          <w:rtl/>
        </w:rPr>
        <w:t xml:space="preserve"> فلا يعمل به،</w:t>
      </w:r>
      <w:r w:rsidRPr="003121B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>وكل</w:t>
      </w:r>
      <w:r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 يؤخذ من قوله وي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>ترك إلا المعصوم 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87FD2E6-2EBB-4E66-9FB4-D0EDA97BEF48}"/>
    <w:embedBold r:id="rId2" w:fontKey="{A69FB770-EE0D-4EE8-9479-2F2C9001AD6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54114F55-49D7-49A0-B191-FAD6490E9A3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45D7301-5225-458C-BBF0-7A1A9642F3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81462BB-A758-478E-8105-0199F918F2EF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1218773-F7E2-44A6-AD55-E1FE21BF17AE}"/>
    <w:embedBold r:id="rId7" w:fontKey="{848E5BFA-9179-4570-AA20-87DF2B6146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50B56BA-A395-4BAE-AA63-5114058035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CAA"/>
    <w:rsid w:val="00304FFB"/>
    <w:rsid w:val="004D193F"/>
    <w:rsid w:val="0073647D"/>
    <w:rsid w:val="00A701BB"/>
    <w:rsid w:val="00DC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F9B436-AC8C-45C4-A581-2CC6F1970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1BB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2016-05-11T11:17:00Z</dcterms:created>
  <dcterms:modified xsi:type="dcterms:W3CDTF">2017-01-02T13:08:00Z</dcterms:modified>
</cp:coreProperties>
</file>