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B32A2C" w14:textId="11A0BC97" w:rsidR="000F0CC8" w:rsidRPr="00963E74" w:rsidRDefault="000F0CC8" w:rsidP="004944F2">
      <w:pPr>
        <w:pStyle w:val="2"/>
        <w:jc w:val="center"/>
        <w:rPr>
          <w:rFonts w:ascii="Simplified Arabic" w:hAnsi="Simplified Arabic" w:cs="Simplified Arabic"/>
          <w:i w:val="0"/>
          <w:iCs w:val="0"/>
          <w:color w:val="0000FF"/>
          <w:rtl/>
        </w:rPr>
      </w:pPr>
      <w:bookmarkStart w:id="0" w:name="_Toc306007359"/>
      <w:r w:rsidRPr="00963E74">
        <w:rPr>
          <w:rFonts w:ascii="Simplified Arabic" w:hAnsi="Simplified Arabic" w:cs="Simplified Arabic"/>
          <w:i w:val="0"/>
          <w:iCs w:val="0"/>
          <w:color w:val="0000FF"/>
          <w:rtl/>
        </w:rPr>
        <w:t>اللباس</w:t>
      </w:r>
      <w:bookmarkStart w:id="1" w:name="_GoBack"/>
      <w:bookmarkEnd w:id="1"/>
    </w:p>
    <w:p w14:paraId="2665D252" w14:textId="3BCE688E" w:rsidR="009A1A9F" w:rsidRDefault="009A1A9F" w:rsidP="00963E74">
      <w:pPr>
        <w:pStyle w:val="2"/>
        <w:jc w:val="center"/>
        <w:rPr>
          <w:rFonts w:ascii="Simplified Arabic" w:hAnsi="Simplified Arabic" w:cs="Simplified Arabic"/>
          <w:i w:val="0"/>
          <w:iCs w:val="0"/>
          <w:color w:val="0000FF"/>
          <w:rtl/>
        </w:rPr>
      </w:pPr>
      <w:r w:rsidRPr="00963E74">
        <w:rPr>
          <w:rFonts w:ascii="Simplified Arabic" w:hAnsi="Simplified Arabic" w:cs="Simplified Arabic"/>
          <w:i w:val="0"/>
          <w:iCs w:val="0"/>
          <w:color w:val="0000FF"/>
          <w:rtl/>
        </w:rPr>
        <w:t xml:space="preserve">الإسبال من </w:t>
      </w:r>
      <w:r w:rsidR="00441A2F" w:rsidRPr="00963E74">
        <w:rPr>
          <w:rFonts w:ascii="Simplified Arabic" w:hAnsi="Simplified Arabic" w:cs="Simplified Arabic"/>
          <w:i w:val="0"/>
          <w:iCs w:val="0"/>
          <w:color w:val="0000FF"/>
          <w:rtl/>
        </w:rPr>
        <w:t>غير</w:t>
      </w:r>
      <w:r w:rsidRPr="00963E74">
        <w:rPr>
          <w:rFonts w:ascii="Simplified Arabic" w:hAnsi="Simplified Arabic" w:cs="Simplified Arabic"/>
          <w:i w:val="0"/>
          <w:iCs w:val="0"/>
          <w:color w:val="0000FF"/>
          <w:rtl/>
        </w:rPr>
        <w:t xml:space="preserve"> خيلاء</w:t>
      </w:r>
      <w:bookmarkEnd w:id="0"/>
    </w:p>
    <w:p w14:paraId="2B4262B1" w14:textId="77777777" w:rsidR="00E11E36" w:rsidRDefault="00E11E36" w:rsidP="00E11E36">
      <w:pPr>
        <w:rPr>
          <w:rtl/>
        </w:rPr>
      </w:pPr>
    </w:p>
    <w:p w14:paraId="2CD0DE0B" w14:textId="77777777" w:rsidR="00E11E36" w:rsidRPr="00E11E36" w:rsidRDefault="00E11E36" w:rsidP="00E11E36">
      <w:pPr>
        <w:rPr>
          <w:rtl/>
        </w:rPr>
      </w:pPr>
    </w:p>
    <w:p w14:paraId="63E3193F" w14:textId="77777777" w:rsidR="009A1A9F" w:rsidRPr="00963E74" w:rsidRDefault="00441A2F" w:rsidP="00E11E36">
      <w:pPr>
        <w:pStyle w:val="a4"/>
        <w:shd w:val="clear" w:color="auto" w:fill="E6E6E6"/>
        <w:ind w:firstLine="0"/>
        <w:jc w:val="both"/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</w:pPr>
      <w:r w:rsidRPr="00963E74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السؤال</w:t>
      </w:r>
      <w:r w:rsidR="009A1A9F" w:rsidRPr="00963E74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: ما حكم الإسبال من </w:t>
      </w:r>
      <w:r w:rsidRPr="00963E74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غير</w:t>
      </w:r>
      <w:r w:rsidR="009A1A9F" w:rsidRPr="00963E74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 xml:space="preserve"> خيلاء؟ </w:t>
      </w:r>
    </w:p>
    <w:p w14:paraId="1A4C6A25" w14:textId="77777777" w:rsidR="009A1A9F" w:rsidRPr="00963E74" w:rsidRDefault="00441A2F" w:rsidP="00E11E36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963E74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: الإسبال المسؤول عنه</w:t>
      </w:r>
      <w:r w:rsidR="00E11E36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D005A2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-وهو</w:t>
      </w:r>
      <w:r w:rsidR="00963E74" w:rsidRPr="00963E74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D005A2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ما</w:t>
      </w:r>
      <w:r w:rsidR="00963E74" w:rsidRPr="00963E74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D005A2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كان 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من دون خيلاء</w:t>
      </w:r>
      <w:r w:rsidR="00D005A2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-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يَرِد فيه</w:t>
      </w:r>
      <w:r w:rsidR="00D005A2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حديث</w:t>
      </w:r>
      <w:r w:rsidR="00963E74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D005A2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أبي هريرة-رضي الله عنه</w:t>
      </w:r>
      <w:r w:rsidR="000E502B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-</w:t>
      </w:r>
      <w:r w:rsidR="00D005A2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في الصحيح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: </w:t>
      </w:r>
      <w:r w:rsidR="00E11E36" w:rsidRPr="00E11E36">
        <w:rPr>
          <w:rFonts w:ascii="Simplified Arabic" w:hAnsi="Simplified Arabic" w:cs="Simplified Arabic" w:hint="eastAsia"/>
          <w:b w:val="0"/>
          <w:color w:val="0000FF"/>
          <w:sz w:val="28"/>
          <w:szCs w:val="28"/>
          <w:rtl/>
        </w:rPr>
        <w:t>«</w:t>
      </w:r>
      <w:r w:rsidR="009A1A9F" w:rsidRPr="005E4697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ما أسفل من الكعبين </w:t>
      </w:r>
      <w:r w:rsidRPr="005E4697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من الإزار </w:t>
      </w:r>
      <w:r w:rsidR="009A1A9F" w:rsidRPr="005E4697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ففي النار</w:t>
      </w:r>
      <w:r w:rsidR="00E11E36" w:rsidRPr="00E11E36">
        <w:rPr>
          <w:rFonts w:ascii="Simplified Arabic" w:hAnsi="Simplified Arabic" w:cs="Simplified Arabic" w:hint="eastAsia"/>
          <w:b w:val="0"/>
          <w:color w:val="0000FF"/>
          <w:sz w:val="28"/>
          <w:szCs w:val="28"/>
          <w:rtl/>
        </w:rPr>
        <w:t>»</w:t>
      </w:r>
      <w:r w:rsidR="00E11E36">
        <w:rPr>
          <w:rFonts w:ascii="Simplified Arabic" w:hAnsi="Simplified Arabic" w:cs="Simplified Arabic" w:hint="cs"/>
          <w:b w:val="0"/>
          <w:sz w:val="28"/>
          <w:szCs w:val="28"/>
          <w:rtl/>
        </w:rPr>
        <w:t xml:space="preserve"> </w:t>
      </w:r>
      <w:r w:rsidR="00E11E36" w:rsidRPr="00E11E36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[البخاري: 5787]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، والإسبال الذي</w:t>
      </w:r>
      <w:r w:rsidR="00E11E36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يقترن بالخيلاء أمره أشد من ذلك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E11E36" w:rsidRPr="00E11E36">
        <w:rPr>
          <w:rFonts w:ascii="Simplified Arabic" w:hAnsi="Simplified Arabic" w:cs="Simplified Arabic" w:hint="eastAsia"/>
          <w:bCs w:val="0"/>
          <w:sz w:val="28"/>
          <w:szCs w:val="28"/>
          <w:rtl/>
        </w:rPr>
        <w:t>«</w:t>
      </w:r>
      <w:r w:rsidR="00D005A2" w:rsidRPr="00E11E36">
        <w:rPr>
          <w:rFonts w:ascii="Simplified Arabic" w:hAnsi="Simplified Arabic" w:cs="Simplified Arabic"/>
          <w:bCs w:val="0"/>
          <w:sz w:val="28"/>
          <w:szCs w:val="28"/>
          <w:rtl/>
        </w:rPr>
        <w:t>لا ينظر الله إليه ولا يكلمه</w:t>
      </w:r>
      <w:r w:rsidR="00E11E36">
        <w:rPr>
          <w:rFonts w:ascii="Simplified Arabic" w:hAnsi="Simplified Arabic" w:cs="Simplified Arabic"/>
          <w:bCs w:val="0"/>
          <w:sz w:val="28"/>
          <w:szCs w:val="28"/>
          <w:rtl/>
        </w:rPr>
        <w:t>..</w:t>
      </w:r>
      <w:r w:rsidR="00E11E36" w:rsidRPr="00E11E36">
        <w:rPr>
          <w:rFonts w:ascii="Simplified Arabic" w:hAnsi="Simplified Arabic" w:cs="Simplified Arabic" w:hint="eastAsia"/>
          <w:bCs w:val="0"/>
          <w:sz w:val="28"/>
          <w:szCs w:val="28"/>
          <w:rtl/>
        </w:rPr>
        <w:t>»</w:t>
      </w:r>
      <w:r w:rsidR="00E11E36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E11E36" w:rsidRPr="00E11E36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 xml:space="preserve">[يُنظر: النسائي الكبرى: </w:t>
      </w:r>
      <w:r w:rsidR="00E11E36" w:rsidRPr="00E11E36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2355</w:t>
      </w:r>
      <w:r w:rsidR="00E11E36" w:rsidRPr="00E11E36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]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إلى آخر الحديث</w:t>
      </w:r>
      <w:r w:rsidR="00963E74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E11E36">
        <w:rPr>
          <w:rFonts w:ascii="Simplified Arabic" w:hAnsi="Simplified Arabic" w:cs="Simplified Arabic" w:hint="cs"/>
          <w:bCs w:val="0"/>
          <w:sz w:val="28"/>
          <w:szCs w:val="28"/>
          <w:rtl/>
        </w:rPr>
        <w:t>من</w:t>
      </w:r>
      <w:r w:rsidR="000E502B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الوعيد الشديد، ولكل</w:t>
      </w:r>
      <w:r w:rsidR="00E11E36">
        <w:rPr>
          <w:rFonts w:ascii="Simplified Arabic" w:hAnsi="Simplified Arabic" w:cs="Simplified Arabic" w:hint="cs"/>
          <w:bCs w:val="0"/>
          <w:sz w:val="28"/>
          <w:szCs w:val="28"/>
          <w:rtl/>
        </w:rPr>
        <w:t>ٍّ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منهما ح</w:t>
      </w:r>
      <w:r w:rsidR="00E11E36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كمه؛ فبدون خيلاء </w:t>
      </w:r>
      <w:r w:rsidR="00E11E36" w:rsidRPr="00E11E36">
        <w:rPr>
          <w:rFonts w:ascii="Simplified Arabic" w:hAnsi="Simplified Arabic" w:cs="Simplified Arabic" w:hint="eastAsia"/>
          <w:b w:val="0"/>
          <w:color w:val="0000FF"/>
          <w:sz w:val="28"/>
          <w:szCs w:val="28"/>
          <w:rtl/>
        </w:rPr>
        <w:t>«</w:t>
      </w:r>
      <w:r w:rsidR="00E11E36" w:rsidRPr="005E4697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ما أسفل من الكعبين من الإزار ففي النار</w:t>
      </w:r>
      <w:r w:rsidR="00E11E36" w:rsidRPr="00E11E36">
        <w:rPr>
          <w:rFonts w:ascii="Simplified Arabic" w:hAnsi="Simplified Arabic" w:cs="Simplified Arabic" w:hint="eastAsia"/>
          <w:b w:val="0"/>
          <w:color w:val="0000FF"/>
          <w:sz w:val="28"/>
          <w:szCs w:val="28"/>
          <w:rtl/>
        </w:rPr>
        <w:t>»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، هذا </w:t>
      </w:r>
      <w:r w:rsidR="00E11E36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له 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حكم</w:t>
      </w:r>
      <w:r w:rsidR="00D005A2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وما اقترن بالخيلاء أمره أشد، </w:t>
      </w:r>
      <w:r w:rsidR="00E11E36"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ي</w:t>
      </w:r>
      <w:r w:rsidR="00E11E36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رِد فيه الوعيد الشديد: </w:t>
      </w:r>
      <w:r w:rsidR="00E11E36" w:rsidRPr="00E11E36">
        <w:rPr>
          <w:rFonts w:ascii="Simplified Arabic" w:hAnsi="Simplified Arabic" w:cs="Simplified Arabic" w:hint="eastAsia"/>
          <w:b w:val="0"/>
          <w:color w:val="0000FF"/>
          <w:sz w:val="28"/>
          <w:szCs w:val="28"/>
          <w:rtl/>
        </w:rPr>
        <w:t>«</w:t>
      </w:r>
      <w:r w:rsidR="00E11E36" w:rsidRPr="00E11E36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لا يكلمهم الله يوم القيامة ولا ينظر إليهم</w:t>
      </w:r>
      <w:r w:rsidR="00963E74" w:rsidRPr="00E11E36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..</w:t>
      </w:r>
      <w:r w:rsidR="009A1A9F" w:rsidRPr="00E11E36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.</w:t>
      </w:r>
      <w:r w:rsidR="00E11E36" w:rsidRPr="00E11E36">
        <w:rPr>
          <w:rFonts w:ascii="Simplified Arabic" w:hAnsi="Simplified Arabic" w:cs="Simplified Arabic" w:hint="eastAsia"/>
          <w:b w:val="0"/>
          <w:color w:val="0000FF"/>
          <w:sz w:val="28"/>
          <w:szCs w:val="28"/>
          <w:rtl/>
        </w:rPr>
        <w:t>»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E11E36" w:rsidRPr="00E11E36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 xml:space="preserve">[النسائي الكبرى: </w:t>
      </w:r>
      <w:r w:rsidR="00E11E36" w:rsidRPr="00E11E36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2355</w:t>
      </w:r>
      <w:r w:rsidR="00E11E36" w:rsidRPr="00E11E36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]</w:t>
      </w:r>
      <w:r w:rsidR="00E11E36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 xml:space="preserve"> </w:t>
      </w:r>
      <w:r w:rsidR="00E11E36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إلى آخر الحديث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. </w:t>
      </w:r>
    </w:p>
    <w:p w14:paraId="0090C245" w14:textId="77777777" w:rsidR="009A1A9F" w:rsidRPr="00963E74" w:rsidRDefault="00E11E36" w:rsidP="00E11E36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/>
          <w:bCs w:val="0"/>
          <w:sz w:val="28"/>
          <w:szCs w:val="28"/>
          <w:rtl/>
        </w:rPr>
        <w:t>قد يقول قائل: إن ما ورد</w:t>
      </w:r>
      <w:r w:rsidR="000E502B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من قوله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0E502B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: </w:t>
      </w:r>
      <w:r w:rsidRPr="00E11E36">
        <w:rPr>
          <w:rFonts w:ascii="Simplified Arabic" w:hAnsi="Simplified Arabic" w:cs="Simplified Arabic" w:hint="eastAsia"/>
          <w:b w:val="0"/>
          <w:color w:val="0000FF"/>
          <w:sz w:val="28"/>
          <w:szCs w:val="28"/>
          <w:rtl/>
        </w:rPr>
        <w:t>«</w:t>
      </w:r>
      <w:r w:rsidRPr="00E11E36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من</w:t>
      </w:r>
      <w:r w:rsidRPr="00E11E36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E11E36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جرَّ</w:t>
      </w:r>
      <w:r w:rsidRPr="00E11E36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E11E36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ثوبه</w:t>
      </w:r>
      <w:r w:rsidRPr="00E11E36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 xml:space="preserve"> </w:t>
      </w:r>
      <w:r w:rsidRPr="00E11E36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>خيلاء</w:t>
      </w:r>
      <w:r w:rsidRPr="00E11E36">
        <w:rPr>
          <w:rFonts w:ascii="Simplified Arabic" w:hAnsi="Simplified Arabic" w:cs="Simplified Arabic" w:hint="eastAsia"/>
          <w:b w:val="0"/>
          <w:color w:val="0000FF"/>
          <w:sz w:val="28"/>
          <w:szCs w:val="28"/>
          <w:rtl/>
        </w:rPr>
        <w:t>»</w:t>
      </w:r>
      <w:r w:rsidRPr="00E11E36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 xml:space="preserve"> [البخاري: </w:t>
      </w:r>
      <w:r w:rsidRPr="00E11E36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5784</w:t>
      </w:r>
      <w:r w:rsidRPr="00E11E36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]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0E502B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م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قيد</w:t>
      </w:r>
      <w:r w:rsidR="000E502B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963E74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0E502B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وقوله</w:t>
      </w:r>
      <w:r w:rsidR="000E502B" w:rsidRPr="00963E74">
        <w:rPr>
          <w:rFonts w:ascii="Simplified Arabic" w:hAnsi="Simplified Arabic" w:cs="Simplified Arabic"/>
          <w:b w:val="0"/>
          <w:sz w:val="28"/>
          <w:szCs w:val="28"/>
          <w:rtl/>
        </w:rPr>
        <w:t>:</w:t>
      </w:r>
      <w:r w:rsidR="00963E74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 xml:space="preserve"> </w:t>
      </w:r>
      <w:r w:rsidRPr="00E11E36">
        <w:rPr>
          <w:rFonts w:ascii="Simplified Arabic" w:hAnsi="Simplified Arabic" w:cs="Simplified Arabic" w:hint="eastAsia"/>
          <w:b w:val="0"/>
          <w:color w:val="0000FF"/>
          <w:sz w:val="28"/>
          <w:szCs w:val="28"/>
          <w:rtl/>
        </w:rPr>
        <w:t>«</w:t>
      </w:r>
      <w:r w:rsidRPr="005E4697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ما أسفل من الكعبين من الإزار ففي النار</w:t>
      </w:r>
      <w:r w:rsidRPr="00E11E36">
        <w:rPr>
          <w:rFonts w:ascii="Simplified Arabic" w:hAnsi="Simplified Arabic" w:cs="Simplified Arabic" w:hint="eastAsia"/>
          <w:b w:val="0"/>
          <w:color w:val="0000FF"/>
          <w:sz w:val="28"/>
          <w:szCs w:val="28"/>
          <w:rtl/>
        </w:rPr>
        <w:t>»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مطلق، وحينئذٍ 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حمل المطلق على المقيد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قي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د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النهي بالخيلاء، ويبقى ما سَلِمَ من الخيلاء لا يتناوله النهي. </w:t>
      </w:r>
    </w:p>
    <w:p w14:paraId="4C7986B7" w14:textId="77777777" w:rsidR="009A1A9F" w:rsidRPr="00963E74" w:rsidRDefault="00E11E36" w:rsidP="00E11E36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نقول: 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القاعدة عند أهل العلم في ح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مل المطلق على المقيد، أنهما إذا اتفقا في الحكم والسبب، حُمِلَ المطلق على المقيد، أما إذا اختلفا في الحكم والسبب، فإنه لا يُحمل المطلق على المقيد</w:t>
      </w:r>
      <w:r w:rsidR="000E502B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0E502B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و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هنا الحكم مختلف، </w:t>
      </w:r>
      <w:r w:rsidR="000E502B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فقوله: </w:t>
      </w:r>
      <w:r w:rsidRPr="00E11E36">
        <w:rPr>
          <w:rFonts w:ascii="Simplified Arabic" w:hAnsi="Simplified Arabic" w:cs="Simplified Arabic" w:hint="eastAsia"/>
          <w:b w:val="0"/>
          <w:color w:val="0000FF"/>
          <w:sz w:val="28"/>
          <w:szCs w:val="28"/>
          <w:rtl/>
        </w:rPr>
        <w:t>«</w:t>
      </w:r>
      <w:r w:rsidRPr="005E4697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ففي النار</w:t>
      </w:r>
      <w:r w:rsidRPr="00E11E36">
        <w:rPr>
          <w:rFonts w:ascii="Simplified Arabic" w:hAnsi="Simplified Arabic" w:cs="Simplified Arabic" w:hint="eastAsia"/>
          <w:b w:val="0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 xml:space="preserve"> 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أخف من الوعيد الشديد فيما اقترن بالخيلاء، والسبب مختلف</w:t>
      </w:r>
      <w:r w:rsidR="000E502B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0E502B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ف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هذا مجرد إسبال، </w:t>
      </w:r>
      <w:r w:rsidR="000E502B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و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مجرد نزول الإزار عن الكعب، </w:t>
      </w:r>
      <w:r w:rsidR="000E502B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و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هذا حكمه أخف،</w:t>
      </w:r>
      <w:r w:rsidR="000E502B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E470EB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و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إذا اقترن نزول الإزار عن الكعب بالخيلاء كان </w:t>
      </w:r>
      <w:r w:rsidR="00E470EB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حكمه أشد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، وسببه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الخيلاء،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حينئذ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ٍ</w:t>
      </w:r>
      <w:r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إذا اختلف الحكم والسبب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لا 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حمل المطلق على المقيد كما هو معلوم، ومقرر عند أهل العلم، أما إذا اتفقا في الحكم والسبب فإنه حينئذ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ٍ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حمل المطلق على المقيد.</w:t>
      </w:r>
    </w:p>
    <w:p w14:paraId="6D31F66B" w14:textId="77777777" w:rsidR="00E11E36" w:rsidRDefault="00E470EB" w:rsidP="00E11E36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ومن باب الفائدة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وتتميم القسمة،</w:t>
      </w:r>
      <w:r w:rsidR="00963E74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نذكر باقي حالات المطلق مع المقيد</w:t>
      </w:r>
      <w:r w:rsidR="00E11E36">
        <w:rPr>
          <w:rFonts w:ascii="Simplified Arabic" w:hAnsi="Simplified Arabic" w:cs="Simplified Arabic" w:hint="cs"/>
          <w:bCs w:val="0"/>
          <w:sz w:val="28"/>
          <w:szCs w:val="28"/>
          <w:rtl/>
        </w:rPr>
        <w:t>، وهي</w:t>
      </w:r>
      <w:r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:</w:t>
      </w:r>
      <w:r w:rsidR="00E11E36" w:rsidRPr="00E11E36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E11E36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إذا </w:t>
      </w:r>
      <w:r w:rsidR="00E11E36">
        <w:rPr>
          <w:rFonts w:ascii="Simplified Arabic" w:hAnsi="Simplified Arabic" w:cs="Simplified Arabic" w:hint="cs"/>
          <w:bCs w:val="0"/>
          <w:sz w:val="28"/>
          <w:szCs w:val="28"/>
          <w:rtl/>
        </w:rPr>
        <w:t>ا</w:t>
      </w:r>
      <w:r w:rsidR="00E11E36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ختلفا في الحكم </w:t>
      </w:r>
      <w:r w:rsidR="00E11E36">
        <w:rPr>
          <w:rFonts w:ascii="Simplified Arabic" w:hAnsi="Simplified Arabic" w:cs="Simplified Arabic"/>
          <w:bCs w:val="0"/>
          <w:sz w:val="28"/>
          <w:szCs w:val="28"/>
          <w:rtl/>
        </w:rPr>
        <w:t>و</w:t>
      </w:r>
      <w:r w:rsidR="00E11E36">
        <w:rPr>
          <w:rFonts w:ascii="Simplified Arabic" w:hAnsi="Simplified Arabic" w:cs="Simplified Arabic" w:hint="cs"/>
          <w:bCs w:val="0"/>
          <w:sz w:val="28"/>
          <w:szCs w:val="28"/>
          <w:rtl/>
        </w:rPr>
        <w:t>ا</w:t>
      </w:r>
      <w:r w:rsidR="00E11E36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تفقا في السبب</w:t>
      </w:r>
      <w:r w:rsidR="00E11E36">
        <w:rPr>
          <w:rFonts w:ascii="Simplified Arabic" w:hAnsi="Simplified Arabic" w:cs="Simplified Arabic" w:hint="cs"/>
          <w:bCs w:val="0"/>
          <w:sz w:val="28"/>
          <w:szCs w:val="28"/>
          <w:rtl/>
        </w:rPr>
        <w:t>، أو اختلفا في السبب</w:t>
      </w:r>
      <w:r w:rsidR="00E11E36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E11E36"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 w:rsidR="00E11E36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اتفقا في الحكم</w:t>
      </w:r>
      <w:r w:rsidR="00E11E36">
        <w:rPr>
          <w:rFonts w:ascii="Simplified Arabic" w:hAnsi="Simplified Arabic" w:cs="Simplified Arabic" w:hint="cs"/>
          <w:bCs w:val="0"/>
          <w:sz w:val="28"/>
          <w:szCs w:val="28"/>
          <w:rtl/>
        </w:rPr>
        <w:t>:</w:t>
      </w:r>
      <w:r w:rsidR="00E11E36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</w:p>
    <w:p w14:paraId="30C7474E" w14:textId="77777777" w:rsidR="009A1A9F" w:rsidRPr="00963E74" w:rsidRDefault="00E11E36" w:rsidP="00E11E36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إذا اتفقا في الحكم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واختلفا في السبب،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حمل المطلق على المقيد عند الجمهور، كما في وجوب إعتاق الرقبة في كفارة الظهار وفي كفارة القتل،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الحكم واحد: </w:t>
      </w:r>
      <w:r w:rsidR="00E470EB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وهو 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وجوب الإعتاق، والسبب مختلف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: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هذا قتل، وهذا ظهار</w:t>
      </w:r>
      <w:r w:rsidR="00E470EB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فلا 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لتفت حينئذٍ إلى السبب، فيجب أن تكون الرقبة المعتَقة مؤمنة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عند الجمهور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؛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للاتفاق في الحكم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خلاف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ا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للحنفية. </w:t>
      </w:r>
    </w:p>
    <w:p w14:paraId="68074C7B" w14:textId="77777777" w:rsidR="009A1A9F" w:rsidRPr="00963E74" w:rsidRDefault="009A1A9F" w:rsidP="00E11E36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963E74">
        <w:rPr>
          <w:rFonts w:ascii="Simplified Arabic" w:hAnsi="Simplified Arabic" w:cs="Simplified Arabic"/>
          <w:bCs w:val="0"/>
          <w:sz w:val="28"/>
          <w:szCs w:val="28"/>
          <w:rtl/>
        </w:rPr>
        <w:lastRenderedPageBreak/>
        <w:t>أما إذا اتفقا في السبب، واختلفا في الحكم</w:t>
      </w:r>
      <w:r w:rsidR="00E11E36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E11E36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فإن الجمهور</w:t>
      </w:r>
      <w:r w:rsidR="00E11E36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لا يرون ح</w:t>
      </w:r>
      <w:r w:rsidR="00E11E36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مل المطلق على المقيد في هذه الصورة، كما هو الحكم في اليد في آية الوضوء وفي آية التيمم</w:t>
      </w:r>
      <w:r w:rsidR="00E470EB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E11E36"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السبب واحد</w:t>
      </w:r>
      <w:r w:rsidR="00E11E36">
        <w:rPr>
          <w:rFonts w:ascii="Simplified Arabic" w:hAnsi="Simplified Arabic" w:cs="Simplified Arabic" w:hint="cs"/>
          <w:bCs w:val="0"/>
          <w:sz w:val="28"/>
          <w:szCs w:val="28"/>
          <w:rtl/>
        </w:rPr>
        <w:t>:</w:t>
      </w:r>
      <w:r w:rsidR="00E470EB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وهو</w:t>
      </w:r>
      <w:r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الحَدَث، والحكم مختلف</w:t>
      </w:r>
      <w:r w:rsidR="00E11E36">
        <w:rPr>
          <w:rFonts w:ascii="Simplified Arabic" w:hAnsi="Simplified Arabic" w:cs="Simplified Arabic" w:hint="cs"/>
          <w:bCs w:val="0"/>
          <w:sz w:val="28"/>
          <w:szCs w:val="28"/>
          <w:rtl/>
        </w:rPr>
        <w:t>:</w:t>
      </w:r>
      <w:r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هذا غ</w:t>
      </w:r>
      <w:r w:rsidR="00E11E36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سل</w:t>
      </w:r>
      <w:r w:rsidR="00E11E36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وهذا مسح، </w:t>
      </w:r>
      <w:r w:rsidR="00E470EB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فحينئذ</w:t>
      </w:r>
      <w:r w:rsidR="00E11E36">
        <w:rPr>
          <w:rFonts w:ascii="Simplified Arabic" w:hAnsi="Simplified Arabic" w:cs="Simplified Arabic" w:hint="cs"/>
          <w:bCs w:val="0"/>
          <w:sz w:val="28"/>
          <w:szCs w:val="28"/>
          <w:rtl/>
        </w:rPr>
        <w:t>ٍ</w:t>
      </w:r>
      <w:r w:rsidR="00E470EB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9B00B0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لا ي</w:t>
      </w:r>
      <w:r w:rsidR="00E11E36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9B00B0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حمل المطلق على المقيد</w:t>
      </w:r>
      <w:r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، فلا ت</w:t>
      </w:r>
      <w:r w:rsidR="00E11E36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مسح اليد إلى المرافق. </w:t>
      </w:r>
    </w:p>
    <w:p w14:paraId="7B0E0005" w14:textId="77777777" w:rsidR="009A1A9F" w:rsidRPr="00963E74" w:rsidRDefault="00E11E36" w:rsidP="00E11E36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أما 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إذا اختلفا في الحكم والسبب، </w:t>
      </w:r>
      <w:r w:rsidR="009B00B0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ف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لا 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حمل المطلق على المقيد اتفاق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ا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؛ كاليد في آية السرقة، مع اليد في آية الوضوء، اختلفا في الحكم والسبب،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فالسبب: 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هذا سرقة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وهذا ح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د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ث، والحكم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: 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في هذا قطع، وفي هذا غ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سل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فلا 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قال: ت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قطع اليد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من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المرافق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اتفاق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ا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. </w:t>
      </w:r>
    </w:p>
    <w:p w14:paraId="6323AAE3" w14:textId="77777777" w:rsidR="00E67D5A" w:rsidRDefault="009B00B0" w:rsidP="00E11E36">
      <w:pPr>
        <w:pStyle w:val="a4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وخلاصة القول</w:t>
      </w:r>
      <w:r w:rsidR="00E11E36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أن حكم الإسبال من دون خيلاء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حرام</w:t>
      </w:r>
      <w:r w:rsidR="00E11E36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E11E36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ومتوعد عليه بالنار</w:t>
      </w:r>
      <w:r w:rsidR="00E11E36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E11E36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فإذا اقترن بالخيلاء</w:t>
      </w:r>
      <w:r w:rsidR="00E11E36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9A1A9F" w:rsidRPr="00963E74">
        <w:rPr>
          <w:rFonts w:ascii="Simplified Arabic" w:hAnsi="Simplified Arabic" w:cs="Simplified Arabic"/>
          <w:bCs w:val="0"/>
          <w:sz w:val="28"/>
          <w:szCs w:val="28"/>
          <w:rtl/>
        </w:rPr>
        <w:t>كان الأمر أشد.</w:t>
      </w:r>
    </w:p>
    <w:p w14:paraId="6A5FB608" w14:textId="77777777" w:rsidR="00E11E36" w:rsidRDefault="00E11E36" w:rsidP="00E11E36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14:paraId="74D73C80" w14:textId="77777777" w:rsidR="00E11E36" w:rsidRPr="00E11E36" w:rsidRDefault="00E11E36" w:rsidP="00E11E3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sz w:val="28"/>
          <w:szCs w:val="28"/>
          <w:rtl/>
        </w:rPr>
      </w:pPr>
      <w:r w:rsidRPr="00E11E36">
        <w:rPr>
          <w:rFonts w:ascii="Simplified Arabic" w:eastAsiaTheme="minorHAnsi" w:hAnsi="Simplified Arabic" w:cs="Simplified Arabic"/>
          <w:sz w:val="28"/>
          <w:szCs w:val="28"/>
          <w:rtl/>
        </w:rPr>
        <w:t>برنامج فتاوى نور على الدرب، الحلقة الأولى، 5/8/1431.</w:t>
      </w:r>
    </w:p>
    <w:p w14:paraId="0038F46A" w14:textId="77777777" w:rsidR="00E11E36" w:rsidRPr="00963E74" w:rsidRDefault="00E11E36" w:rsidP="00E11E36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</w:rPr>
      </w:pPr>
    </w:p>
    <w:sectPr w:rsidR="00E11E36" w:rsidRPr="00963E7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27BEFD" w14:textId="77777777" w:rsidR="009C219F" w:rsidRDefault="009C219F" w:rsidP="009A1A9F">
      <w:r>
        <w:separator/>
      </w:r>
    </w:p>
  </w:endnote>
  <w:endnote w:type="continuationSeparator" w:id="0">
    <w:p w14:paraId="694EFBB7" w14:textId="77777777" w:rsidR="009C219F" w:rsidRDefault="009C219F" w:rsidP="009A1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6927813-62D3-4572-8590-86D16313510F}"/>
    <w:embedBold r:id="rId2" w:fontKey="{0C2B2F31-2196-49D5-B51A-340AE29A1AB5}"/>
    <w:embedBoldItalic r:id="rId3" w:fontKey="{02D8A77E-A7B5-4B62-B9F1-BD4F6C6BD9E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BE1DF373-2033-4F6A-8CEB-FC7AE9C2B2A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F4F9E01-6164-4B45-921B-1BDDA9E01E67}"/>
    <w:embedBold r:id="rId6" w:fontKey="{A815AE1E-E82C-4680-A835-0C07C3C50C0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D70481B4-A923-4635-9B60-8499DA36B931}"/>
    <w:embedBoldItalic r:id="rId8" w:fontKey="{CD4B006F-951F-419B-A0A0-DD512855AAD0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9" w:fontKey="{70CB7E28-0DAA-464B-9FB6-027EAD05B83E}"/>
    <w:embedBold r:id="rId10" w:fontKey="{59874BE8-0CFE-4249-AE28-F2865693478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B003D643-B58A-4154-94F4-E04F4EEFC0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FFC9939B-8A36-4914-AC3D-3332C4A1DA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109A1" w14:textId="77777777" w:rsidR="009C219F" w:rsidRDefault="009C219F" w:rsidP="009A1A9F">
      <w:r>
        <w:separator/>
      </w:r>
    </w:p>
  </w:footnote>
  <w:footnote w:type="continuationSeparator" w:id="0">
    <w:p w14:paraId="59A25886" w14:textId="77777777" w:rsidR="009C219F" w:rsidRDefault="009C219F" w:rsidP="009A1A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1A9F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02B"/>
    <w:rsid w:val="000E5D0A"/>
    <w:rsid w:val="000E6421"/>
    <w:rsid w:val="000E7E4B"/>
    <w:rsid w:val="000E7FBD"/>
    <w:rsid w:val="000F0A34"/>
    <w:rsid w:val="000F0CC8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AAE"/>
    <w:rsid w:val="001E2EBC"/>
    <w:rsid w:val="001E3CD6"/>
    <w:rsid w:val="001E4238"/>
    <w:rsid w:val="001E42C7"/>
    <w:rsid w:val="001E477F"/>
    <w:rsid w:val="001E495B"/>
    <w:rsid w:val="001E7201"/>
    <w:rsid w:val="001E7E9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9F6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07E1A"/>
    <w:rsid w:val="0031019E"/>
    <w:rsid w:val="00311552"/>
    <w:rsid w:val="00311581"/>
    <w:rsid w:val="003115C9"/>
    <w:rsid w:val="00311979"/>
    <w:rsid w:val="00311EBA"/>
    <w:rsid w:val="003129AF"/>
    <w:rsid w:val="00314594"/>
    <w:rsid w:val="00314F89"/>
    <w:rsid w:val="003153C3"/>
    <w:rsid w:val="00315583"/>
    <w:rsid w:val="00315D0C"/>
    <w:rsid w:val="0031636A"/>
    <w:rsid w:val="00316481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846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1A2F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87D09"/>
    <w:rsid w:val="00490031"/>
    <w:rsid w:val="004906F7"/>
    <w:rsid w:val="00491698"/>
    <w:rsid w:val="004916E2"/>
    <w:rsid w:val="00491FEE"/>
    <w:rsid w:val="00492742"/>
    <w:rsid w:val="00492FF0"/>
    <w:rsid w:val="004935D4"/>
    <w:rsid w:val="00493681"/>
    <w:rsid w:val="00494188"/>
    <w:rsid w:val="004942DB"/>
    <w:rsid w:val="004944F2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1810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183D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697"/>
    <w:rsid w:val="005E4BE6"/>
    <w:rsid w:val="005E4EDC"/>
    <w:rsid w:val="005E766D"/>
    <w:rsid w:val="005E7EC5"/>
    <w:rsid w:val="005F1251"/>
    <w:rsid w:val="005F1C6A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2B22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A6697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65D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6049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4427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0B0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E74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1A9F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0B0"/>
    <w:rsid w:val="009B01C6"/>
    <w:rsid w:val="009B138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219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46B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C6C"/>
    <w:rsid w:val="00B73884"/>
    <w:rsid w:val="00B73E9E"/>
    <w:rsid w:val="00B748BF"/>
    <w:rsid w:val="00B74FEB"/>
    <w:rsid w:val="00B7549E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1A51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05A2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1E36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0EB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63A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65D2CF"/>
  <w15:docId w15:val="{DFBD150F-AC78-41F6-9D07-B6C634E58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1A9F"/>
    <w:pPr>
      <w:bidi/>
      <w:spacing w:after="0" w:line="240" w:lineRule="auto"/>
    </w:pPr>
    <w:rPr>
      <w:rFonts w:eastAsia="Times New Roman" w:cs="Times New Roman"/>
      <w:szCs w:val="24"/>
    </w:rPr>
  </w:style>
  <w:style w:type="paragraph" w:styleId="2">
    <w:name w:val="heading 2"/>
    <w:basedOn w:val="a"/>
    <w:next w:val="a"/>
    <w:link w:val="2Char"/>
    <w:qFormat/>
    <w:rsid w:val="009A1A9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9A1A9F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4">
    <w:name w:val="Body Text Indent"/>
    <w:basedOn w:val="a"/>
    <w:link w:val="Char0"/>
    <w:rsid w:val="009A1A9F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Char0">
    <w:name w:val="نص أساسي بمسافة بادئة Char"/>
    <w:basedOn w:val="a0"/>
    <w:link w:val="a4"/>
    <w:rsid w:val="009A1A9F"/>
    <w:rPr>
      <w:rFonts w:eastAsia="SimSun"/>
      <w:b/>
      <w:bCs/>
      <w:noProof/>
      <w:sz w:val="32"/>
      <w:szCs w:val="32"/>
    </w:rPr>
  </w:style>
  <w:style w:type="paragraph" w:styleId="a5">
    <w:name w:val="footnote text"/>
    <w:basedOn w:val="a"/>
    <w:link w:val="Char1"/>
    <w:semiHidden/>
    <w:rsid w:val="009A1A9F"/>
    <w:rPr>
      <w:rFonts w:eastAsia="SimSun" w:cs="Traditional Arabic"/>
      <w:noProof/>
      <w:sz w:val="20"/>
      <w:szCs w:val="20"/>
    </w:rPr>
  </w:style>
  <w:style w:type="character" w:customStyle="1" w:styleId="Char1">
    <w:name w:val="نص حاشية سفلية Char"/>
    <w:basedOn w:val="a0"/>
    <w:link w:val="a5"/>
    <w:semiHidden/>
    <w:rsid w:val="009A1A9F"/>
    <w:rPr>
      <w:rFonts w:eastAsia="SimSun"/>
      <w:noProof/>
      <w:sz w:val="20"/>
      <w:szCs w:val="20"/>
    </w:rPr>
  </w:style>
  <w:style w:type="character" w:styleId="a6">
    <w:name w:val="footnote reference"/>
    <w:semiHidden/>
    <w:rsid w:val="009A1A9F"/>
    <w:rPr>
      <w:vertAlign w:val="superscript"/>
    </w:rPr>
  </w:style>
  <w:style w:type="character" w:styleId="a7">
    <w:name w:val="annotation reference"/>
    <w:basedOn w:val="a0"/>
    <w:uiPriority w:val="99"/>
    <w:semiHidden/>
    <w:unhideWhenUsed/>
    <w:rsid w:val="00E11E36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E11E36"/>
    <w:rPr>
      <w:rFonts w:eastAsia="SimSun" w:cs="Traditional Arabic"/>
      <w:noProof/>
      <w:sz w:val="20"/>
      <w:szCs w:val="20"/>
    </w:rPr>
  </w:style>
  <w:style w:type="character" w:customStyle="1" w:styleId="Char2">
    <w:name w:val="نص تعليق Char"/>
    <w:basedOn w:val="a0"/>
    <w:link w:val="a8"/>
    <w:uiPriority w:val="99"/>
    <w:semiHidden/>
    <w:rsid w:val="00E11E36"/>
    <w:rPr>
      <w:rFonts w:eastAsia="SimSun"/>
      <w:noProof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E11E36"/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E11E36"/>
    <w:rPr>
      <w:rFonts w:ascii="Tahoma" w:eastAsia="Times New Roman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3D458-B9C8-4788-A9AF-2ED792AC6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380</Words>
  <Characters>2171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18</cp:revision>
  <cp:lastPrinted>2014-12-05T03:53:00Z</cp:lastPrinted>
  <dcterms:created xsi:type="dcterms:W3CDTF">2012-11-20T11:40:00Z</dcterms:created>
  <dcterms:modified xsi:type="dcterms:W3CDTF">2019-06-13T10:48:00Z</dcterms:modified>
</cp:coreProperties>
</file>