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1708" w:rsidRPr="008805B4" w:rsidRDefault="000F4E8C" w:rsidP="008805B4">
      <w:pPr>
        <w:pStyle w:val="a3"/>
        <w:rPr>
          <w:rFonts w:ascii="Simplified Arabic" w:hAnsi="Simplified Arabic"/>
          <w:noProof w:val="0"/>
          <w:color w:val="0000FF"/>
          <w:sz w:val="28"/>
          <w:szCs w:val="28"/>
          <w:rtl/>
        </w:rPr>
      </w:pPr>
      <w:bookmarkStart w:id="0" w:name="_Toc307733972"/>
      <w:r w:rsidRPr="000F4E8C">
        <w:rPr>
          <w:rFonts w:ascii="Simplified Arabic" w:hAnsi="Simplified Arabic"/>
          <w:noProof w:val="0"/>
          <w:color w:val="0000FF"/>
          <w:sz w:val="28"/>
          <w:szCs w:val="28"/>
          <w:rtl/>
        </w:rPr>
        <w:t>نواقض الوضوء</w:t>
      </w:r>
      <w:bookmarkStart w:id="1" w:name="_GoBack"/>
      <w:bookmarkEnd w:id="1"/>
    </w:p>
    <w:p w:rsidR="00746C52" w:rsidRPr="008805B4" w:rsidRDefault="00746C52" w:rsidP="008805B4">
      <w:pPr>
        <w:pStyle w:val="a3"/>
        <w:rPr>
          <w:rFonts w:ascii="Simplified Arabic" w:hAnsi="Simplified Arabic"/>
          <w:noProof w:val="0"/>
          <w:color w:val="0000FF"/>
          <w:sz w:val="28"/>
          <w:szCs w:val="28"/>
          <w:rtl/>
        </w:rPr>
      </w:pPr>
      <w:r w:rsidRPr="00BA0500">
        <w:rPr>
          <w:rFonts w:ascii="Simplified Arabic" w:hAnsi="Simplified Arabic"/>
          <w:noProof w:val="0"/>
          <w:color w:val="0000FF"/>
          <w:sz w:val="28"/>
          <w:szCs w:val="28"/>
          <w:rtl/>
        </w:rPr>
        <w:t>دخول الحمّام بعد الوضوء وأثر ذلك على الوضوء</w:t>
      </w:r>
      <w:bookmarkEnd w:id="0"/>
    </w:p>
    <w:p w:rsidR="00746C52" w:rsidRDefault="00746C52" w:rsidP="00746C52">
      <w:pPr>
        <w:widowControl w:val="0"/>
        <w:spacing w:after="200"/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8805B4" w:rsidRPr="008805B4" w:rsidRDefault="008805B4" w:rsidP="00746C52">
      <w:pPr>
        <w:widowControl w:val="0"/>
        <w:spacing w:after="200"/>
        <w:ind w:firstLine="720"/>
        <w:jc w:val="both"/>
        <w:rPr>
          <w:rFonts w:ascii="Simplified Arabic" w:hAnsi="Simplified Arabic" w:cs="Simplified Arabic"/>
          <w:b/>
          <w:sz w:val="2"/>
          <w:szCs w:val="2"/>
          <w:rtl/>
        </w:rPr>
      </w:pPr>
    </w:p>
    <w:p w:rsidR="00746C52" w:rsidRPr="00BA0500" w:rsidRDefault="00201708" w:rsidP="00BA0500">
      <w:pPr>
        <w:widowControl w:val="0"/>
        <w:shd w:val="clear" w:color="auto" w:fill="E6E6E6"/>
        <w:spacing w:after="200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A050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46C52" w:rsidRPr="00BA050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: </w:t>
      </w:r>
      <w:r w:rsidR="00746C52" w:rsidRPr="00BA050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هل يجوز دخول الحمّام بعد الوضوء، وهل ي</w:t>
      </w:r>
      <w:r w:rsidR="008805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746C52" w:rsidRPr="00BA050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نقض الوضوء؟ </w:t>
      </w:r>
    </w:p>
    <w:p w:rsidR="00746C52" w:rsidRPr="00BA0500" w:rsidRDefault="00201708" w:rsidP="008805B4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A050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746C52" w:rsidRPr="008805B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46C52" w:rsidRPr="00BA0500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8805B4" w:rsidRPr="008805B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مجرد 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دخول الحمّام بعد الوضوء لا ينقض الوضوء</w:t>
      </w:r>
      <w:r w:rsidR="008805B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 xml:space="preserve"> فالحمّام كغيره، مكان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 xml:space="preserve"> لا ي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نج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س داخل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ه</w:t>
      </w:r>
      <w:r w:rsidR="008805B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 xml:space="preserve"> إلا إذا باشر فيه شيئًا من النجاسة</w:t>
      </w:r>
      <w:r w:rsidR="008805B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 xml:space="preserve"> وإلا فالأصل أنه لا يُنَج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س داخل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ه</w:t>
      </w:r>
      <w:r w:rsidR="008805B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أما 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إن كان مقصوده دخول الحمام لنقض الوضوء</w:t>
      </w:r>
      <w:r w:rsidR="008805B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بمعنى أنه 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توضأ، فلما تم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ت الطهارة دخل الحمّام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 xml:space="preserve"> لينقض الوضوء</w:t>
      </w:r>
      <w:r w:rsidR="008805B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 xml:space="preserve"> فمثل هذا إذا باشر السبب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 xml:space="preserve"> ولم ي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خرج منه شيء بعد تمام الطهارة فإنه لا ي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نتقض وضوء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8805B4">
        <w:rPr>
          <w:rFonts w:ascii="Simplified Arabic" w:hAnsi="Simplified Arabic" w:cs="Simplified Arabic"/>
          <w:b/>
          <w:sz w:val="28"/>
          <w:szCs w:val="28"/>
          <w:rtl/>
        </w:rPr>
        <w:t>ه، بخلاف م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ا لو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 xml:space="preserve"> فعل ذلك أو أراد نقض الوضوء قبل تمام الطهارة</w:t>
      </w:r>
      <w:r w:rsidR="008805B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 xml:space="preserve"> فإن وضوء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ه ينتقض؛ لأن العبادة إذا نُوي نقض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ها في أثنائها بطلت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="008805B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 xml:space="preserve"> وإذا نُويَ نقض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ها وإبطال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ها بعد تمامها فإن هذه النية لا ت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ؤث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8805B4">
        <w:rPr>
          <w:rFonts w:ascii="Simplified Arabic" w:hAnsi="Simplified Arabic" w:cs="Simplified Arabic"/>
          <w:b/>
          <w:sz w:val="28"/>
          <w:szCs w:val="28"/>
          <w:rtl/>
        </w:rPr>
        <w:t>ر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ولذا 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يقول أهل العلم في نية الوضوء: يجب استصحاب حكمها</w:t>
      </w:r>
      <w:r w:rsidR="008805B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 xml:space="preserve"> بأل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ا ينوي نقض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 xml:space="preserve"> الطهارة قبل تمامها</w:t>
      </w:r>
      <w:r w:rsidR="008805B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 xml:space="preserve"> فإذا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نوى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 xml:space="preserve"> نقض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 xml:space="preserve"> الطهارة قبل تمامها فإنها تنتقض</w:t>
      </w:r>
      <w:r w:rsidR="008805B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قل 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مثل هذا في سائر العبادات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 xml:space="preserve"> م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ن نوى أن ي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خرج من الصلاة وهو في أثنائها</w:t>
      </w:r>
      <w:r w:rsidR="008805B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 xml:space="preserve"> م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 xml:space="preserve">ن نوى الإفطار أفطر، لكن لو قال بعد غروب الشمس: 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أنا أ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ريد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 xml:space="preserve"> أقضي هذا اليوم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، هل ي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ؤث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ر على صيامه؟ لا ي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ؤث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 xml:space="preserve">ر ما لم يكن قضاؤه </w:t>
      </w:r>
      <w:r w:rsidR="008805B4">
        <w:rPr>
          <w:rFonts w:ascii="Simplified Arabic" w:hAnsi="Simplified Arabic" w:cs="Simplified Arabic" w:hint="cs"/>
          <w:b/>
          <w:sz w:val="28"/>
          <w:szCs w:val="28"/>
          <w:rtl/>
        </w:rPr>
        <w:t>ل</w:t>
      </w:r>
      <w:r w:rsidR="00746C52" w:rsidRPr="00BA0500">
        <w:rPr>
          <w:rFonts w:ascii="Simplified Arabic" w:hAnsi="Simplified Arabic" w:cs="Simplified Arabic"/>
          <w:b/>
          <w:sz w:val="28"/>
          <w:szCs w:val="28"/>
          <w:rtl/>
        </w:rPr>
        <w:t>بطلانه أو فساده.</w:t>
      </w:r>
    </w:p>
    <w:p w:rsidR="008805B4" w:rsidRPr="008805B4" w:rsidRDefault="008805B4" w:rsidP="008805B4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8805B4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السادسة عشرة، 29/11/1431.</w:t>
      </w:r>
    </w:p>
    <w:p w:rsidR="00746C52" w:rsidRPr="00BA0500" w:rsidRDefault="00746C52" w:rsidP="008805B4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BA0500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BA050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4756" w:rsidRDefault="001D4756" w:rsidP="00746C52">
      <w:r>
        <w:separator/>
      </w:r>
    </w:p>
  </w:endnote>
  <w:endnote w:type="continuationSeparator" w:id="0">
    <w:p w:rsidR="001D4756" w:rsidRDefault="001D4756" w:rsidP="00746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4A23740-2F85-4545-99D1-80D169B0298A}"/>
    <w:embedBold r:id="rId2" w:fontKey="{AE71607F-3C02-46E1-8B84-AA9F3217CE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E5C627-7371-4274-8F84-D1F13787829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F0EE668-A42D-4577-9171-BF48C0915B5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467DEA20-A947-464E-8F50-EDA33EB8573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F639575-A242-41BC-A6CF-E358C0E0C342}"/>
    <w:embedBold r:id="rId7" w:fontKey="{EEC6028E-752A-44A9-8ADC-56CFADC343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1A627A8-E554-4076-A063-A571F8417F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775A70E-FBB1-4D86-B613-C5D8A21F80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4756" w:rsidRDefault="001D4756" w:rsidP="00746C52">
      <w:r>
        <w:separator/>
      </w:r>
    </w:p>
  </w:footnote>
  <w:footnote w:type="continuationSeparator" w:id="0">
    <w:p w:rsidR="001D4756" w:rsidRDefault="001D4756" w:rsidP="00746C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6C5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00E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4E8C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431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32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756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1708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753C7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4DD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33A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C52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05B4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00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7D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5FA838C-2522-4845-99E7-51F7F891C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6C52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746C52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746C52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746C52"/>
  </w:style>
  <w:style w:type="character" w:customStyle="1" w:styleId="Char0">
    <w:name w:val="نص حاشية سفلية Char"/>
    <w:basedOn w:val="a0"/>
    <w:link w:val="a4"/>
    <w:semiHidden/>
    <w:rsid w:val="00746C52"/>
    <w:rPr>
      <w:rFonts w:eastAsia="SimSun"/>
      <w:noProof/>
      <w:sz w:val="20"/>
      <w:szCs w:val="20"/>
    </w:rPr>
  </w:style>
  <w:style w:type="character" w:styleId="a5">
    <w:name w:val="footnote reference"/>
    <w:semiHidden/>
    <w:rsid w:val="00746C5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E17AF-A165-41AB-BEEF-AE576F958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162</Words>
  <Characters>924</Characters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2014-12-07T14:39:00Z</cp:lastPrinted>
  <dcterms:created xsi:type="dcterms:W3CDTF">2012-12-02T05:36:00Z</dcterms:created>
  <dcterms:modified xsi:type="dcterms:W3CDTF">2019-06-16T08:10:00Z</dcterms:modified>
</cp:coreProperties>
</file>