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D0C" w:rsidRPr="002D5255" w:rsidRDefault="008D0435" w:rsidP="002D5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0435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146D0C" w:rsidRPr="002D5255" w:rsidRDefault="00146D0C" w:rsidP="002D5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596B">
        <w:rPr>
          <w:rFonts w:ascii="Simplified Arabic" w:hAnsi="Simplified Arabic"/>
          <w:color w:val="0000FF"/>
          <w:sz w:val="28"/>
          <w:szCs w:val="28"/>
          <w:rtl/>
        </w:rPr>
        <w:t>الائتمام بالمسبوق</w:t>
      </w:r>
    </w:p>
    <w:p w:rsidR="00C13469" w:rsidRPr="002D5255" w:rsidRDefault="00C13469" w:rsidP="002D52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2E65" w:rsidRPr="00B8596B" w:rsidRDefault="00146D0C" w:rsidP="00B859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59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82E65" w:rsidRPr="00B859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صليت</w:t>
      </w:r>
      <w:r w:rsidR="00C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2E65" w:rsidRPr="00B859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الجماعة ركعتين في صلاة العصر ثم قمت</w:t>
      </w:r>
      <w:r w:rsidR="00C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34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لأكمل الركعتين المتبقي</w:t>
      </w:r>
      <w:r w:rsidR="00C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تين</w:t>
      </w:r>
      <w:r w:rsidRPr="00B859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فأتى رجل فصلى معي ركعتين فما رأيكم بصلاة هذا الرجل؟</w:t>
      </w:r>
    </w:p>
    <w:p w:rsidR="00A82E65" w:rsidRPr="00B8596B" w:rsidRDefault="00146D0C" w:rsidP="000615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8596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82E65" w:rsidRPr="002D52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82E65" w:rsidRPr="00B859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المسبوق إذا سل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م إمامه وقام ليقضي ما فاته حكمه حكم المنفرد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والمرج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ح عند أهل العلم أنه يجوز الاقتداء بالمنفرد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ي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كب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ر لصلاته منفردًا ثم يأتي شخص يأتم به لا مانع من هذا 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وإن كان من أهل العلم من يشترط نية الإمامة من أول الصلاة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لكن المرج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ح عند أهل العلم أنه لا مانع أن ي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قتدى به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وبعضهم يستدل بحديث </w:t>
      </w:r>
      <w:r w:rsidR="000615D8" w:rsidRPr="000615D8">
        <w:rPr>
          <w:rFonts w:ascii="Traditional Arabic" w:eastAsia="MS Mincho" w:hAnsi="Traditional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0615D8" w:rsidRPr="006A2F24">
        <w:rPr>
          <w:rFonts w:ascii="Traditional Arabic" w:eastAsia="MS Mincho" w:hAnsi="Traditional Arabic" w:cs="Simplified Arabic"/>
          <w:b/>
          <w:bCs/>
          <w:color w:val="0000FF"/>
          <w:sz w:val="28"/>
          <w:szCs w:val="28"/>
          <w:rtl/>
          <w:lang w:bidi="ar-EG"/>
        </w:rPr>
        <w:t>م</w:t>
      </w:r>
      <w:r w:rsidR="000615D8">
        <w:rPr>
          <w:rFonts w:ascii="Traditional Arabic" w:eastAsia="MS Mincho" w:hAnsi="Traditional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0615D8" w:rsidRPr="006A2F24">
        <w:rPr>
          <w:rFonts w:ascii="Traditional Arabic" w:eastAsia="MS Mincho" w:hAnsi="Traditional Arabic" w:cs="Simplified Arabic"/>
          <w:b/>
          <w:bCs/>
          <w:color w:val="0000FF"/>
          <w:sz w:val="28"/>
          <w:szCs w:val="28"/>
          <w:rtl/>
          <w:lang w:bidi="ar-EG"/>
        </w:rPr>
        <w:t>ن يتصدق على هذا</w:t>
      </w:r>
      <w:r w:rsidR="000615D8" w:rsidRPr="000615D8">
        <w:rPr>
          <w:rFonts w:ascii="Traditional Arabic" w:eastAsia="MS Mincho" w:hAnsi="Traditional Arabic" w:cs="Simplified Arabic" w:hint="cs"/>
          <w:b/>
          <w:bCs/>
          <w:color w:val="0000FF"/>
          <w:sz w:val="28"/>
          <w:szCs w:val="28"/>
          <w:rtl/>
          <w:lang w:bidi="ar-EG"/>
        </w:rPr>
        <w:t>؟»</w:t>
      </w:r>
      <w:r w:rsidR="000615D8">
        <w:rPr>
          <w:rFonts w:ascii="Traditional Arabic" w:eastAsia="MS Mincho" w:hAnsi="Traditional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0615D8" w:rsidRPr="000615D8">
        <w:rPr>
          <w:rFonts w:ascii="Traditional Arabic" w:eastAsia="MS Mincho" w:hAnsi="Traditional Arabic" w:cs="Simplified Arabic" w:hint="cs"/>
          <w:color w:val="0000FF"/>
          <w:sz w:val="28"/>
          <w:szCs w:val="28"/>
          <w:rtl/>
          <w:lang w:bidi="ar-EG"/>
        </w:rPr>
        <w:t>[</w:t>
      </w:r>
      <w:r w:rsidR="005E0EA6">
        <w:rPr>
          <w:rFonts w:ascii="Traditional Arabic" w:eastAsia="MS Mincho" w:hAnsi="Traditional Arabic" w:cs="Simplified Arabic" w:hint="cs"/>
          <w:color w:val="0000FF"/>
          <w:sz w:val="28"/>
          <w:szCs w:val="28"/>
          <w:rtl/>
          <w:lang w:bidi="ar-EG"/>
        </w:rPr>
        <w:t>الترمذي: 220 / و</w:t>
      </w:r>
      <w:r w:rsidR="000615D8" w:rsidRPr="000615D8">
        <w:rPr>
          <w:rFonts w:ascii="Traditional Arabic" w:eastAsia="MS Mincho" w:hAnsi="Traditional Arabic" w:cs="Simplified Arabic" w:hint="cs"/>
          <w:color w:val="0000FF"/>
          <w:sz w:val="28"/>
          <w:szCs w:val="28"/>
          <w:rtl/>
          <w:lang w:bidi="ar-EG"/>
        </w:rPr>
        <w:t xml:space="preserve">مسند أحمد: </w:t>
      </w:r>
      <w:r w:rsidR="000615D8" w:rsidRPr="000615D8">
        <w:rPr>
          <w:rFonts w:ascii="Traditional Arabic" w:eastAsia="MS Mincho" w:hAnsi="Traditional Arabic" w:cs="Simplified Arabic"/>
          <w:color w:val="0000FF"/>
          <w:sz w:val="28"/>
          <w:szCs w:val="28"/>
          <w:rtl/>
          <w:lang w:bidi="ar-EG"/>
        </w:rPr>
        <w:t>11408</w:t>
      </w:r>
      <w:r w:rsidR="000615D8" w:rsidRPr="000615D8">
        <w:rPr>
          <w:rFonts w:ascii="Traditional Arabic" w:eastAsia="MS Mincho" w:hAnsi="Traditional Arabic" w:cs="Simplified Arabic" w:hint="cs"/>
          <w:color w:val="0000FF"/>
          <w:sz w:val="28"/>
          <w:szCs w:val="28"/>
          <w:rtl/>
          <w:lang w:bidi="ar-EG"/>
        </w:rPr>
        <w:t>]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حيث إ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نه ائتم به بعد أن كب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ر لصلاته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فهذا فيه دليل على أنّ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المنفرد يمكن أن ي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قتدى به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وهذا هو </w:t>
      </w:r>
      <w:r w:rsidR="00C13469" w:rsidRPr="00B8596B">
        <w:rPr>
          <w:rFonts w:ascii="Simplified Arabic" w:hAnsi="Simplified Arabic" w:cs="Simplified Arabic"/>
          <w:sz w:val="28"/>
          <w:szCs w:val="28"/>
          <w:rtl/>
        </w:rPr>
        <w:t>المرج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13469" w:rsidRPr="00B8596B">
        <w:rPr>
          <w:rFonts w:ascii="Simplified Arabic" w:hAnsi="Simplified Arabic" w:cs="Simplified Arabic"/>
          <w:sz w:val="28"/>
          <w:szCs w:val="28"/>
          <w:rtl/>
        </w:rPr>
        <w:t>ح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فلا مانع أن ي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قتدي المسبوق بالمسبوق الذي سُبق بأقل منه أو مثله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حتى لو دخلا جميعًا وس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بقا بركعة أو ركعتين ثم قاما ليقضيا </w:t>
      </w:r>
      <w:r w:rsidRPr="00B8596B">
        <w:rPr>
          <w:rFonts w:ascii="Simplified Arabic" w:hAnsi="Simplified Arabic" w:cs="Simplified Arabic"/>
          <w:sz w:val="28"/>
          <w:szCs w:val="28"/>
          <w:rtl/>
        </w:rPr>
        <w:t>ف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اقتدى أحدهما بالآخر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 xml:space="preserve"> لا سيما الذي موضعه صالح للإمامة ي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قتدي به من موضعه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13469">
        <w:rPr>
          <w:rFonts w:ascii="Simplified Arabic" w:hAnsi="Simplified Arabic" w:cs="Simplified Arabic"/>
          <w:sz w:val="28"/>
          <w:szCs w:val="28"/>
          <w:rtl/>
        </w:rPr>
        <w:t>صالح لل</w:t>
      </w:r>
      <w:r w:rsidR="00C13469">
        <w:rPr>
          <w:rFonts w:ascii="Simplified Arabic" w:hAnsi="Simplified Arabic" w:cs="Simplified Arabic" w:hint="cs"/>
          <w:sz w:val="28"/>
          <w:szCs w:val="28"/>
          <w:rtl/>
        </w:rPr>
        <w:t>ائتمام</w:t>
      </w:r>
      <w:r w:rsidR="00A82E65" w:rsidRPr="00B8596B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67D5A" w:rsidRPr="00B8596B" w:rsidRDefault="00A82E65" w:rsidP="00A82E65">
      <w:pPr>
        <w:rPr>
          <w:rFonts w:ascii="Simplified Arabic" w:hAnsi="Simplified Arabic" w:cs="Simplified Arabic"/>
          <w:sz w:val="28"/>
          <w:szCs w:val="28"/>
        </w:rPr>
      </w:pPr>
      <w:r w:rsidRPr="00B8596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8596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B859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2DE244-8C3D-43E9-87EC-E1080060D447}"/>
    <w:embedBold r:id="rId2" w:fontKey="{1CED04B9-37D2-4792-A493-5D555B6EE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C8E2A5-8958-4C15-ABD8-1F1D57157C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B54D84-9320-48A9-A5D6-862D2F5BC09D}"/>
    <w:embedBold r:id="rId5" w:fontKey="{D81028E2-026E-4390-BA15-A4B04CC11C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B3B789D-E3BA-45E1-B0EF-558682CEE5DA}"/>
    <w:embedBold r:id="rId7" w:fontKey="{ED3E8679-E793-446D-BCE9-A3C82CA3392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4B23283-6525-46DD-A34E-B203CA6FDE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A8083E7-D17E-4462-8AFD-D0441FFBD5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E6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15D8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671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1F59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0C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368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255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0EA6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435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2E65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596B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469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E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827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2015-02-06T14:47:00Z</cp:lastPrinted>
  <dcterms:created xsi:type="dcterms:W3CDTF">2019-03-04T12:17:00Z</dcterms:created>
  <dcterms:modified xsi:type="dcterms:W3CDTF">2019-06-19T10:39:00Z</dcterms:modified>
</cp:coreProperties>
</file>