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24173" w14:textId="77777777" w:rsidR="00586C0A" w:rsidRDefault="00586C0A" w:rsidP="00586C0A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586C0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أكل اللحم النيء</w:t>
      </w:r>
    </w:p>
    <w:p w14:paraId="7735B3FF" w14:textId="53CAA286" w:rsidR="005A68B5" w:rsidRPr="00586C0A" w:rsidRDefault="005A68B5" w:rsidP="00586C0A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الأطعمة</w:t>
      </w:r>
      <w:bookmarkStart w:id="0" w:name="_GoBack"/>
      <w:bookmarkEnd w:id="0"/>
    </w:p>
    <w:p w14:paraId="50859F95" w14:textId="77777777" w:rsidR="00586C0A" w:rsidRPr="00586C0A" w:rsidRDefault="00586C0A" w:rsidP="00586C0A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14:paraId="314809EC" w14:textId="27DB71D3" w:rsidR="00586C0A" w:rsidRPr="00586C0A" w:rsidRDefault="00586C0A" w:rsidP="00586C0A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86C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السؤال</w:t>
      </w:r>
      <w:r w:rsidR="009147CE" w:rsidRPr="00586C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: جاء في </w:t>
      </w:r>
      <w:r w:rsidR="006553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[</w:t>
      </w:r>
      <w:r w:rsidRPr="00586C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9147CE" w:rsidRPr="00586C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كشاف القناع عن متن الإقناع</w:t>
      </w:r>
      <w:r w:rsidRPr="00586C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 قوله</w:t>
      </w:r>
      <w:r w:rsidR="009147CE" w:rsidRPr="00586C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: </w:t>
      </w:r>
      <w:r w:rsidRPr="00586C0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(و) يكره (أكل لحم منتن ونيء) ذكره جماعة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586C0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وجزم في المنتهى بعدم الكراهة وقال في شرحه: فلا يكره أكلهما على الأصح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586C0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قال في الفروع: ولا بأس بلحم نيء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586C0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نقله مهنا</w:t>
      </w:r>
      <w:r w:rsidR="006553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]</w:t>
      </w:r>
      <w:r w:rsidRPr="00586C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</w:p>
    <w:p w14:paraId="33B160B3" w14:textId="77777777" w:rsidR="009147CE" w:rsidRPr="00586C0A" w:rsidRDefault="009147CE" w:rsidP="00586C0A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86C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نرجو منكم -حفظكم الله- التعليق على وجه الكراهة في أكل اللحم النيء</w:t>
      </w:r>
      <w:r w:rsidR="00586C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وذكر الصواب في القولين.</w:t>
      </w:r>
    </w:p>
    <w:p w14:paraId="36D7952F" w14:textId="454173BF" w:rsidR="009147CE" w:rsidRDefault="00586C0A" w:rsidP="008F75B4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586C0A">
        <w:rPr>
          <w:rFonts w:ascii="Simplified Arabic" w:hAnsi="Simplified Arabic" w:cs="Simplified Arabic" w:hint="cs"/>
          <w:sz w:val="28"/>
          <w:szCs w:val="28"/>
          <w:rtl/>
        </w:rPr>
        <w:t>الجواب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: أما بالنسبة للمنتن فهو صرَّح كما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>شرح الإقناع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 أنَّه مكروه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 وجزم بعضهم بعدم الكراهة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 فمستند الكراهة قول النبي -عليه الصلاة والسلام-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من سأله عن الصيد وأنّه قد يغيب عنه </w:t>
      </w:r>
      <w:r w:rsidR="008F75B4">
        <w:rPr>
          <w:rFonts w:ascii="Simplified Arabic" w:hAnsi="Simplified Arabic" w:cs="Simplified Arabic" w:hint="cs"/>
          <w:sz w:val="28"/>
          <w:szCs w:val="28"/>
          <w:rtl/>
        </w:rPr>
        <w:t>ثلاث ليالٍ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 فقال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86C0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586C0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كُلْهُ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ما لم</w:t>
      </w:r>
      <w:r w:rsidRPr="00586C0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يُنْتِنْ»</w:t>
      </w:r>
      <w:r w:rsidRPr="00586C0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4D391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مسلم: </w:t>
      </w:r>
      <w:r w:rsidRPr="00586C0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1931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>ومستند من قال بعدم الكراهة أن النبي -عليه الصلاة والسلام- أضافه يهودي على خبز شعير وإهالة سَنِخة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586C0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أحمد: 13201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>يعني متغيرة فيها رائحة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والفرق بينهما 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>أنّه قد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>حكم بالإباحة</w:t>
      </w:r>
      <w:r>
        <w:rPr>
          <w:rFonts w:ascii="Simplified Arabic" w:hAnsi="Simplified Arabic" w:cs="Simplified Arabic" w:hint="cs"/>
          <w:sz w:val="28"/>
          <w:szCs w:val="28"/>
          <w:rtl/>
        </w:rPr>
        <w:t>، وقد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>حكم بالكراهة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 وقد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>حكم بالتحريم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>إذا كان هذا المنتن بحيث يضر أكله بالآكل فإنّه لا يجوز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 أن يتناوله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مجرد رائحة تنفر منها النفس وتتقزز منها فهذا فيه الكراهة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النتن شي</w:t>
      </w:r>
      <w:r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 يسير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 تعارف الناس على عدم تركه فإنه مثل ما جاء أن اليهودي أضاف النبي -عليه الصلاة والسلام- على خبز شعير وإهالة سنِخة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 يعني متغيرة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 لكنها لا تصل إلى حد يتقزز منها سائر الناس أو يتضررون بأكلها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147CE" w:rsidRPr="00586C0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وعلى كل حال كلُّ مسألة لها حكمها.</w:t>
      </w:r>
    </w:p>
    <w:p w14:paraId="078303F8" w14:textId="77777777" w:rsidR="00586C0A" w:rsidRPr="00586C0A" w:rsidRDefault="00586C0A" w:rsidP="00586C0A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</w:p>
    <w:p w14:paraId="483BF70B" w14:textId="77777777" w:rsidR="00E67D5A" w:rsidRPr="00586C0A" w:rsidRDefault="009147CE" w:rsidP="00586C0A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</w:rPr>
      </w:pPr>
      <w:r w:rsidRPr="00586C0A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التاسعة والخمسون 7/12/1432هـ</w:t>
      </w:r>
    </w:p>
    <w:sectPr w:rsidR="00E67D5A" w:rsidRPr="00586C0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11D74B-7680-45B3-8FBC-6D0CCE9AE4D3}"/>
    <w:embedBold r:id="rId2" w:fontKey="{481AA91A-3E6B-456A-935C-1BA3897BB8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BDE2E2-5599-4687-A1DF-357A922D940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ED4F9E6-2F93-475A-9942-CED4E66A888E}"/>
    <w:embedBold r:id="rId5" w:fontKey="{7B7394AD-39A8-4CAE-8E6E-E111C3FAD2AC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E471376-62E5-4E62-93FD-AA2A3B3476E5}"/>
    <w:embedBold r:id="rId7" w:fontKey="{777082B5-E586-4773-91E3-D03CD0249A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B71EF0B-F8F1-40A5-A6FA-CDACA5AA96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62E797F-BA3A-4484-95F2-38D7F335D3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11FCF00-EAAD-4F64-BB49-DF97EBB8E5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47C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575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C0A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8B5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5372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5B4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7CE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ACC17F"/>
  <w15:docId w15:val="{ECBBCBC7-D69F-46BC-9987-B8CAD2F91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47CE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86C0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86C0A"/>
    <w:pPr>
      <w:spacing w:line="240" w:lineRule="auto"/>
    </w:pPr>
    <w:rPr>
      <w:sz w:val="20"/>
      <w:szCs w:val="20"/>
    </w:rPr>
  </w:style>
  <w:style w:type="character" w:customStyle="1" w:styleId="Char0">
    <w:name w:val="نص تعليق Char"/>
    <w:basedOn w:val="a0"/>
    <w:link w:val="a5"/>
    <w:uiPriority w:val="99"/>
    <w:semiHidden/>
    <w:rsid w:val="00586C0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86C0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86C0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86C0A"/>
    <w:pPr>
      <w:spacing w:before="0"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586C0A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586C0A"/>
    <w:pPr>
      <w:spacing w:after="0" w:line="240" w:lineRule="auto"/>
    </w:pPr>
    <w:rPr>
      <w:rFonts w:eastAsia="SimSun"/>
      <w:noProof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cp:lastPrinted>2016-03-29T06:36:00Z</cp:lastPrinted>
  <dcterms:created xsi:type="dcterms:W3CDTF">2012-12-26T08:27:00Z</dcterms:created>
  <dcterms:modified xsi:type="dcterms:W3CDTF">2019-07-09T11:08:00Z</dcterms:modified>
</cp:coreProperties>
</file>