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FD0" w:rsidRDefault="004602EB" w:rsidP="003E3FD0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4602EB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أحكام أصحاب الأعذار</w:t>
      </w:r>
      <w:bookmarkStart w:id="0" w:name="_GoBack"/>
      <w:bookmarkEnd w:id="0"/>
    </w:p>
    <w:p w:rsidR="003E3FD0" w:rsidRDefault="003E3FD0" w:rsidP="003E3FD0">
      <w:pPr>
        <w:spacing w:before="0" w:after="0" w:line="240" w:lineRule="auto"/>
        <w:ind w:firstLine="0"/>
        <w:jc w:val="center"/>
        <w:rPr>
          <w:rtl/>
        </w:rPr>
      </w:pPr>
      <w:r w:rsidRPr="003E3FD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إكراه 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المسافر لزوجته</w:t>
      </w:r>
      <w:r w:rsidRPr="003E3FD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على الجماع في نهار رمضان</w:t>
      </w:r>
    </w:p>
    <w:p w:rsidR="003E3FD0" w:rsidRDefault="003E3FD0" w:rsidP="003E3FD0">
      <w:pPr>
        <w:spacing w:before="0" w:after="0" w:line="240" w:lineRule="auto"/>
        <w:ind w:firstLine="0"/>
        <w:jc w:val="center"/>
        <w:rPr>
          <w:rtl/>
        </w:rPr>
      </w:pPr>
    </w:p>
    <w:p w:rsidR="00D27186" w:rsidRPr="003E3FD0" w:rsidRDefault="003E3FD0" w:rsidP="003E3FD0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E3F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27186" w:rsidRPr="003E3F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27186" w:rsidRPr="003E3F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أ</w:t>
      </w:r>
      <w:r w:rsidRPr="003E3F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D27186" w:rsidRPr="003E3F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كره الرجل</w:t>
      </w:r>
      <w:r w:rsidRPr="003E3F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27186" w:rsidRPr="003E3F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زوجته على الجماع في نهار رمضان وهما مسافِرَ</w:t>
      </w:r>
      <w:r w:rsidRPr="003E3F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D27186" w:rsidRPr="003E3F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فهل يلحقهما شيء؟</w:t>
      </w:r>
    </w:p>
    <w:p w:rsidR="00D27186" w:rsidRPr="003E3FD0" w:rsidRDefault="003E3FD0" w:rsidP="003E3FD0">
      <w:pPr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3E3F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27186" w:rsidRPr="003E3F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27186">
        <w:rPr>
          <w:rFonts w:hint="cs"/>
          <w:b/>
          <w:sz w:val="32"/>
          <w:rtl/>
        </w:rPr>
        <w:t xml:space="preserve"> </w:t>
      </w:r>
      <w:r w:rsidR="00D27186" w:rsidRPr="003E3FD0">
        <w:rPr>
          <w:rFonts w:ascii="Simplified Arabic" w:hAnsi="Simplified Arabic" w:cs="Simplified Arabic" w:hint="cs"/>
          <w:sz w:val="28"/>
          <w:szCs w:val="28"/>
          <w:rtl/>
        </w:rPr>
        <w:t>المسافر يجوز له أن يفطر</w:t>
      </w:r>
      <w:r w:rsidRPr="003E3F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27186" w:rsidRPr="003E3FD0">
        <w:rPr>
          <w:rFonts w:ascii="Simplified Arabic" w:hAnsi="Simplified Arabic" w:cs="Simplified Arabic" w:hint="cs"/>
          <w:sz w:val="28"/>
          <w:szCs w:val="28"/>
          <w:rtl/>
        </w:rPr>
        <w:t xml:space="preserve"> فإذا أكرهها على الفطر مع أنه يجوز لهما الفطر فإنه لا شيء عليهما إذا كان السفر مما يَسُوغُ فيه الفطر.</w:t>
      </w:r>
    </w:p>
    <w:p w:rsidR="00D27186" w:rsidRPr="003E3FD0" w:rsidRDefault="00D27186" w:rsidP="003E3FD0">
      <w:pPr>
        <w:ind w:firstLine="0"/>
        <w:rPr>
          <w:rFonts w:ascii="Simplified Arabic" w:hAnsi="Simplified Arabic" w:cs="Simplified Arabic"/>
          <w:sz w:val="28"/>
          <w:szCs w:val="28"/>
        </w:rPr>
      </w:pPr>
    </w:p>
    <w:p w:rsidR="00E67D5A" w:rsidRDefault="00D27186" w:rsidP="003E3FD0">
      <w:pPr>
        <w:ind w:firstLine="0"/>
      </w:pPr>
      <w:r w:rsidRPr="003E3FD0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الحادية والستون 21/12/1432هـ</w:t>
      </w:r>
    </w:p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FBF4D0-1832-47E6-9139-3F97F47E8224}"/>
    <w:embedBold r:id="rId2" w:fontKey="{CFA927CE-CA7E-46CB-A46D-E0DC24A710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66E0A9-C424-4018-8D0D-9121A94B700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20B50B1-8967-4D61-8653-BC334F66FA1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1284AC8-25E7-4EB1-A2C8-7C728876B413}"/>
    <w:embedBold r:id="rId6" w:fontKey="{00A24226-6DED-45A7-9161-751B24A5C2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ABBDC78-19FF-466B-A4E7-717219C956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4C9F3DE-7A6A-44E9-8FDB-BF4CFBFCEA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718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26F6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3FD0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2EB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186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F35505F-BD04-4133-9972-4A776D854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7186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2012-12-29T04:34:00Z</dcterms:created>
  <dcterms:modified xsi:type="dcterms:W3CDTF">2019-07-09T11:46:00Z</dcterms:modified>
</cp:coreProperties>
</file>