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9277A" w14:textId="721690CD" w:rsidR="00AC0FE6" w:rsidRDefault="00AC0FE6" w:rsidP="00AC0F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6B1AA72B" w14:textId="66BDECF3" w:rsidR="0099032B" w:rsidRPr="00AC0FE6" w:rsidRDefault="0099032B" w:rsidP="00AC0F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0FE6">
        <w:rPr>
          <w:rFonts w:ascii="Simplified Arabic" w:hAnsi="Simplified Arabic" w:hint="cs"/>
          <w:color w:val="0000FF"/>
          <w:sz w:val="28"/>
          <w:szCs w:val="28"/>
          <w:rtl/>
        </w:rPr>
        <w:t>ما هم به النبي -صلى الله عليه وسلم- ولم يفعله</w:t>
      </w:r>
    </w:p>
    <w:p w14:paraId="788C1973" w14:textId="77777777" w:rsidR="0099032B" w:rsidRPr="00AC0FE6" w:rsidRDefault="0099032B" w:rsidP="00AC0FE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1B9424B" w14:textId="77777777" w:rsidR="00FD6FA5" w:rsidRPr="00AC0FE6" w:rsidRDefault="0099032B" w:rsidP="00AC0FE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C0F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D6FA5" w:rsidRPr="00AC0F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D6FA5" w:rsidRPr="00AC0F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ما هم به النبي -صلى الله عليه وسلم- ولم يفعله يعد سنة كقوله -عليه الصلاة والسلام-: «لئن بقيت إلى قابل لأصومن التاسع»؟</w:t>
      </w:r>
    </w:p>
    <w:p w14:paraId="2B311848" w14:textId="680977B0" w:rsidR="0099032B" w:rsidRDefault="0099032B" w:rsidP="002442EA">
      <w:pPr>
        <w:spacing w:before="120" w:after="120" w:line="240" w:lineRule="atLeast"/>
        <w:jc w:val="both"/>
        <w:rPr>
          <w:sz w:val="36"/>
          <w:szCs w:val="36"/>
          <w:rtl/>
        </w:rPr>
      </w:pPr>
      <w:r w:rsidRPr="00AC0F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D6FA5" w:rsidRPr="00AC0FE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D6FA5" w:rsidRPr="004427B4">
        <w:rPr>
          <w:rFonts w:hint="cs"/>
          <w:sz w:val="36"/>
          <w:szCs w:val="36"/>
          <w:rtl/>
        </w:rPr>
        <w:t xml:space="preserve"> 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>في تعريف السنة ذكر أهل العلم أنها ما نسب إلى النبي -عليه الصلاة والسلام- من قول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أو فعل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أو تقرير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أو وصف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وزاد بعضهم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حتى الهم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وفي شرح حديث:</w:t>
      </w:r>
      <w:r w:rsidR="00FD6FA5">
        <w:rPr>
          <w:rFonts w:hint="cs"/>
          <w:sz w:val="36"/>
          <w:szCs w:val="36"/>
          <w:rtl/>
        </w:rPr>
        <w:t xml:space="preserve"> </w:t>
      </w:r>
      <w:r w:rsidR="00FD6FA5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99032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لقد هممت</w:t>
      </w:r>
      <w:r w:rsidR="007027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99032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أن آمر بحطب، فيحطب، ثم آمر بالصلاة، فيؤذن لها، ثم آمر رجل</w:t>
      </w:r>
      <w:r w:rsidR="007027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99032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فيؤم الناس، ثم أ</w:t>
      </w:r>
      <w:r w:rsidR="007027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99032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خالف إلى رجال، فأ</w:t>
      </w:r>
      <w:r w:rsidR="007027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99032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حر</w:t>
      </w:r>
      <w:r w:rsidR="007027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ِّ</w:t>
      </w:r>
      <w:r w:rsidRPr="0099032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ق عليهم بيوتهم</w:t>
      </w:r>
      <w:r w:rsidR="00FD6FA5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99032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644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hint="cs"/>
          <w:sz w:val="36"/>
          <w:szCs w:val="36"/>
          <w:rtl/>
        </w:rPr>
        <w:t xml:space="preserve"> </w:t>
      </w:r>
      <w:r w:rsidR="00702749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FD6FA5" w:rsidRPr="007027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لقد هممت</w:t>
      </w:r>
      <w:r w:rsidR="007027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="00702749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ردَّ المخالف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في وجوب صلاة الجماعة أنه همَّ ولم يفعل</w:t>
      </w:r>
      <w:r w:rsid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فلا دليل في ذلك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على وجوبها،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>رد عليهم من يرى وجوب الجماعة وأن أمرها شديد بأنه -عليه الصلاة والسلام- لا يهم إلا بما يجوز له فعله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فالهم من السنة وعلى هذا قوله -عليه الصلاة والسلام-:</w:t>
      </w:r>
      <w:r w:rsidR="00FD6FA5">
        <w:rPr>
          <w:rFonts w:hint="cs"/>
          <w:sz w:val="36"/>
          <w:szCs w:val="36"/>
          <w:rtl/>
        </w:rPr>
        <w:t xml:space="preserve"> </w:t>
      </w:r>
      <w:r w:rsidR="00FD6FA5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«لئن بقيت</w:t>
      </w:r>
      <w:r w:rsidR="007027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="00FD6FA5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إلى قابل لأصومن</w:t>
      </w:r>
      <w:r w:rsidR="007027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َّ</w:t>
      </w:r>
      <w:r w:rsidR="00FD6FA5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التاسع»</w:t>
      </w:r>
      <w:r w:rsidR="00AC0FE6">
        <w:rPr>
          <w:rFonts w:hint="cs"/>
          <w:sz w:val="36"/>
          <w:szCs w:val="36"/>
          <w:rtl/>
        </w:rPr>
        <w:t xml:space="preserve"> </w:t>
      </w:r>
      <w:r w:rsidR="00AC0FE6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AC0FE6" w:rsidRPr="00AC0FE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1134</w:t>
      </w:r>
      <w:r w:rsidR="00AC0FE6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AC0FE6">
        <w:rPr>
          <w:rFonts w:hint="cs"/>
          <w:sz w:val="36"/>
          <w:szCs w:val="36"/>
          <w:rtl/>
        </w:rPr>
        <w:t xml:space="preserve"> </w:t>
      </w:r>
      <w:r w:rsidR="00FD6FA5" w:rsidRPr="00AC0FE6">
        <w:rPr>
          <w:rFonts w:ascii="Simplified Arabic" w:hAnsi="Simplified Arabic" w:cs="Simplified Arabic" w:hint="cs"/>
          <w:sz w:val="28"/>
          <w:szCs w:val="28"/>
          <w:rtl/>
        </w:rPr>
        <w:t>فيه مشروعية صيام اليوم التاسع مع العاشر</w:t>
      </w:r>
      <w:r w:rsidR="002442E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157D3E40" w14:textId="4E4190A6" w:rsidR="0099032B" w:rsidRPr="00AC0FE6" w:rsidRDefault="00FD6FA5" w:rsidP="00AC0FE6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0FE6">
        <w:rPr>
          <w:rFonts w:ascii="Simplified Arabic" w:hAnsi="Simplified Arabic" w:cs="Simplified Arabic" w:hint="cs"/>
          <w:sz w:val="28"/>
          <w:szCs w:val="28"/>
          <w:rtl/>
        </w:rPr>
        <w:t>قد يقول قائل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: إن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النبي -عليه الصلاة والسلام- صام عاشوراء حينما قدم المدينة ورأى اليهود يصومونه فسألهم عن ذلك فقالوا ما قالوا فقال النبي -عليه الصلاة والسلام-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hint="cs"/>
          <w:sz w:val="36"/>
          <w:szCs w:val="36"/>
          <w:rtl/>
        </w:rPr>
        <w:t xml:space="preserve"> </w:t>
      </w:r>
      <w:r w:rsidR="00AC0FE6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AC0FE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أنا</w:t>
      </w:r>
      <w:r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أحق بموسى منكم</w:t>
      </w:r>
      <w:r w:rsidR="00640BD8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فصامه وأمر بصيامه</w:t>
      </w:r>
      <w:r w:rsidR="00AC0FE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AC0FE6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AC0FE6" w:rsidRPr="00AC0FE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2004</w:t>
      </w:r>
      <w:r w:rsidR="00AC0FE6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وهذا في السنة الثانية من الهجرة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لأنه قدم في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شهر 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ربيع وقد فات عاشوراء في السنة الأولى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في السنة الثانية قال هذا الكلام ومضى على ذلك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من السنة 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الثانية إلى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السنة العاشرة، ثم 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99032B">
        <w:rPr>
          <w:rFonts w:hint="cs"/>
          <w:sz w:val="36"/>
          <w:szCs w:val="36"/>
          <w:rtl/>
        </w:rPr>
        <w:t>:</w:t>
      </w:r>
      <w:r>
        <w:rPr>
          <w:rFonts w:hint="cs"/>
          <w:sz w:val="36"/>
          <w:szCs w:val="36"/>
          <w:rtl/>
        </w:rPr>
        <w:t xml:space="preserve"> </w:t>
      </w:r>
      <w:r w:rsidR="00AC0FE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«لئن بقيت</w:t>
      </w:r>
      <w:r w:rsidR="0070274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bookmarkStart w:id="0" w:name="_GoBack"/>
      <w:bookmarkEnd w:id="0"/>
      <w:r w:rsidR="00AC0FE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إلى قابل</w:t>
      </w:r>
      <w:r w:rsidR="00AC0FE6"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فهذه المدة التي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هي 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تسع سنوات مدة طويلة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لماذا لم يقل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هذا القول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قبل ذلك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14:paraId="08776F15" w14:textId="77777777" w:rsidR="00AC0FE6" w:rsidRDefault="00FD6FA5" w:rsidP="0099032B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0FE6">
        <w:rPr>
          <w:rFonts w:ascii="Simplified Arabic" w:hAnsi="Simplified Arabic" w:cs="Simplified Arabic" w:hint="cs"/>
          <w:sz w:val="28"/>
          <w:szCs w:val="28"/>
          <w:rtl/>
        </w:rPr>
        <w:t>الجواب عن ذلك أنه -عليه الصلاة والسلام- كان يحب موافقة اليهود لعلَّ الله أن يهديهم ويستجيبوا لدعوته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فلما أيس منهم خالفهم وأمر بمخالفتهم</w:t>
      </w:r>
      <w:r w:rsidR="00AC0FE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00C9EAA8" w14:textId="44E2565A" w:rsidR="00FD6FA5" w:rsidRPr="00AC0FE6" w:rsidRDefault="00FD6FA5" w:rsidP="002442EA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يقول الحافظ ابن حجر في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فتح الباري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في فوائد حديث أبي هريرة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32B" w:rsidRPr="00AC0FE6">
        <w:rPr>
          <w:rFonts w:ascii="Simplified Arabic" w:hAnsi="Simplified Arabic" w:cs="Simplified Arabic"/>
          <w:sz w:val="28"/>
          <w:szCs w:val="28"/>
          <w:rtl/>
        </w:rPr>
        <w:t>–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عنه- حديث الهم بالتحريق: </w:t>
      </w:r>
      <w:r w:rsidR="002442E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وفيه جواز أخذ أهل الجرائم على غرّة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لأنه -</w:t>
      </w:r>
      <w:r w:rsidR="002442EA" w:rsidRPr="002442EA">
        <w:rPr>
          <w:rtl/>
        </w:rPr>
        <w:t xml:space="preserve"> </w:t>
      </w:r>
      <w:r w:rsidR="002442EA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- هم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بذلك في الوقت الذي عُهد منه فيه الاشتغال بالصلاة بالجماعة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فأراد أن يبغتهم في الوقت الذي يتحققون أنه لا يطرقهم فيه أحد</w:t>
      </w:r>
      <w:r w:rsidR="002442E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قال النووي في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شرح مسلم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):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442E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وفيه أنّ الإمام إذا ع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رض له شغل يستخلف من يصلي بالناس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وإنما همَّ بإتيانهم بعد إقامة الصلاة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لأن بذلك الوقت يتحقق مخالفتهم وتخلفهم فيتوجه اللوم عليهم</w:t>
      </w:r>
      <w:r w:rsidR="002442EA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لأنه يأتيهم حال تلبسهم بالمخالفة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إذ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لو تركهم حتى صلى بالناس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قالوا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صلينا جماعة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ولو جاءهم قبل أن يصلي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قالوا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إلى الآن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لم تصلّ بالناس بعد،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ونحن ننوي أن نصلي معك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لكن في الوقت الذي كان يصلي فيه همَّ بما همَّ به -عليه الصلاة والسلام-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ولا شكّ أن الهم مرتبة من مراتب القصد ف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هي: 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الهاجس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ثم الخاطر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ثم حديث النفس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ثم ال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هم، 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>ثم العزم: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452"/>
        <w:gridCol w:w="477"/>
        <w:gridCol w:w="3369"/>
      </w:tblGrid>
      <w:tr w:rsidR="00FD6FA5" w:rsidRPr="00AC0FE6" w14:paraId="536D6E6F" w14:textId="77777777" w:rsidTr="00AC0FE6">
        <w:tc>
          <w:tcPr>
            <w:tcW w:w="3452" w:type="dxa"/>
          </w:tcPr>
          <w:p w14:paraId="5D3BD47E" w14:textId="50C4BFBB" w:rsidR="00FD6FA5" w:rsidRPr="00AC0FE6" w:rsidRDefault="00FD6FA5" w:rsidP="00AC0FE6">
            <w:pPr>
              <w:spacing w:before="120" w:after="120" w:line="240" w:lineRule="atLeast"/>
              <w:ind w:firstLine="226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مراتب</w:t>
            </w:r>
            <w:r w:rsidR="00640BD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القصد</w:t>
            </w:r>
            <w:r w:rsidR="00640BD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ِ</w:t>
            </w: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خمس</w:t>
            </w:r>
            <w:r w:rsidR="00640BD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ٌ:</w:t>
            </w: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هاجس</w:t>
            </w:r>
            <w:r w:rsid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</w:t>
            </w: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ذكروا  </w:t>
            </w:r>
            <w:r w:rsidRPr="00AC0FE6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  <w:tc>
          <w:tcPr>
            <w:tcW w:w="477" w:type="dxa"/>
          </w:tcPr>
          <w:p w14:paraId="5B53DF15" w14:textId="77777777" w:rsidR="00FD6FA5" w:rsidRPr="00AC0FE6" w:rsidRDefault="00FD6FA5" w:rsidP="00AC0FE6">
            <w:pPr>
              <w:spacing w:before="120" w:after="120" w:line="240" w:lineRule="atLeast"/>
              <w:ind w:firstLine="226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369" w:type="dxa"/>
          </w:tcPr>
          <w:p w14:paraId="3BA210DB" w14:textId="3A604C26" w:rsidR="00FD6FA5" w:rsidRPr="00AC0FE6" w:rsidRDefault="00FD6FA5" w:rsidP="00AC0FE6">
            <w:pPr>
              <w:spacing w:before="120" w:after="120" w:line="240" w:lineRule="atLeast"/>
              <w:ind w:firstLine="226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فخاطر</w:t>
            </w:r>
            <w:r w:rsid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</w:t>
            </w:r>
            <w:r w:rsidR="00640BD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،</w:t>
            </w: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فحديث</w:t>
            </w:r>
            <w:r w:rsidR="00640BD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النفس فاستمعا      </w:t>
            </w:r>
            <w:r w:rsidRPr="00AC0FE6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</w:tr>
      <w:tr w:rsidR="00FD6FA5" w:rsidRPr="00AC0FE6" w14:paraId="7E6A8C22" w14:textId="77777777" w:rsidTr="00AC0FE6">
        <w:tc>
          <w:tcPr>
            <w:tcW w:w="3452" w:type="dxa"/>
          </w:tcPr>
          <w:p w14:paraId="2832801A" w14:textId="74D0A1A0" w:rsidR="00FD6FA5" w:rsidRPr="00AC0FE6" w:rsidRDefault="00FD6FA5" w:rsidP="00AC0FE6">
            <w:pPr>
              <w:spacing w:before="120" w:after="120" w:line="240" w:lineRule="atLeast"/>
              <w:ind w:firstLine="226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يليه هم</w:t>
            </w:r>
            <w:r w:rsid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</w:t>
            </w:r>
            <w:r w:rsidR="00640BD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ّ،</w:t>
            </w: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فعزم</w:t>
            </w:r>
            <w:r w:rsid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</w:t>
            </w:r>
            <w:r w:rsidR="00640BD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،</w:t>
            </w: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كلها ر</w:t>
            </w:r>
            <w:r w:rsidR="00640BD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فعت</w:t>
            </w:r>
            <w:r w:rsidR="00640BD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ْ</w:t>
            </w: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    </w:t>
            </w:r>
            <w:r w:rsidRPr="00AC0FE6">
              <w:rPr>
                <w:rFonts w:ascii="Simplified Arabic" w:hAnsi="Simplified Arabic" w:cs="Simplified Arabic" w:hint="cs"/>
                <w:sz w:val="8"/>
                <w:szCs w:val="8"/>
                <w:rtl/>
              </w:rPr>
              <w:t>.</w:t>
            </w:r>
          </w:p>
        </w:tc>
        <w:tc>
          <w:tcPr>
            <w:tcW w:w="477" w:type="dxa"/>
          </w:tcPr>
          <w:p w14:paraId="34692EE0" w14:textId="77777777" w:rsidR="00FD6FA5" w:rsidRPr="00AC0FE6" w:rsidRDefault="00FD6FA5" w:rsidP="00AC0FE6">
            <w:pPr>
              <w:spacing w:before="120" w:after="120" w:line="240" w:lineRule="atLeast"/>
              <w:ind w:firstLine="226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369" w:type="dxa"/>
          </w:tcPr>
          <w:p w14:paraId="42382184" w14:textId="02D5778E" w:rsidR="00FD6FA5" w:rsidRPr="00AC0FE6" w:rsidRDefault="00FD6FA5" w:rsidP="00AC0FE6">
            <w:pPr>
              <w:spacing w:before="120" w:after="120" w:line="240" w:lineRule="atLeast"/>
              <w:ind w:firstLine="226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إلا الأخير ففيه الإثم</w:t>
            </w:r>
            <w:r w:rsidR="00640BD8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AC0FE6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قد وقعا              </w:t>
            </w:r>
            <w:r w:rsidRPr="00AC0FE6">
              <w:rPr>
                <w:rFonts w:ascii="Simplified Arabic" w:hAnsi="Simplified Arabic" w:cs="Simplified Arabic" w:hint="cs"/>
                <w:sz w:val="2"/>
                <w:szCs w:val="2"/>
                <w:rtl/>
              </w:rPr>
              <w:t>.</w:t>
            </w:r>
          </w:p>
        </w:tc>
      </w:tr>
    </w:tbl>
    <w:p w14:paraId="588EE39E" w14:textId="6603741B" w:rsidR="00FD6FA5" w:rsidRPr="00AC0FE6" w:rsidRDefault="00FD6FA5" w:rsidP="00AC0FE6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0FE6">
        <w:rPr>
          <w:rFonts w:ascii="Simplified Arabic" w:hAnsi="Simplified Arabic" w:cs="Simplified Arabic" w:hint="cs"/>
          <w:sz w:val="28"/>
          <w:szCs w:val="28"/>
          <w:rtl/>
        </w:rPr>
        <w:t>هذا بالنسبة لعموم الناس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فلا شك أن الإنسان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لا يؤاخذ على ما قبل العزم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وأما العزم فإنه يؤاخذ عليه مثل ما جاء في الحديث:</w:t>
      </w:r>
      <w:r>
        <w:rPr>
          <w:rFonts w:hint="cs"/>
          <w:sz w:val="36"/>
          <w:szCs w:val="36"/>
          <w:rtl/>
        </w:rPr>
        <w:t xml:space="preserve"> </w:t>
      </w:r>
      <w:r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«إذا التقى المسلمان بسيفيهما فالقاتل والمقتول في النار» قالوا: هذا القاتل فما بال المقتول</w:t>
      </w:r>
      <w:r w:rsidR="00AC0FE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؟</w:t>
      </w:r>
      <w:r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AC0FE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قال: «إ</w:t>
      </w:r>
      <w:r w:rsidRPr="0099032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نه كان حريصًا على قتل صاحبه»</w:t>
      </w:r>
      <w:r w:rsidR="00AC0FE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AC0FE6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AC0FE6" w:rsidRPr="00AC0FE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31</w:t>
      </w:r>
      <w:r w:rsidR="00AC0FE6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 وأما بالنسبة للنبي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-عليه الصلاة والسلام- فإن همه تشريع مُلْحَقٌ بسنته</w:t>
      </w:r>
      <w:r w:rsidR="0099032B" w:rsidRPr="00AC0F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0FE6">
        <w:rPr>
          <w:rFonts w:ascii="Simplified Arabic" w:hAnsi="Simplified Arabic" w:cs="Simplified Arabic" w:hint="cs"/>
          <w:sz w:val="28"/>
          <w:szCs w:val="28"/>
          <w:rtl/>
        </w:rPr>
        <w:t xml:space="preserve"> والأدلة على ذلك كثيرة.</w:t>
      </w:r>
    </w:p>
    <w:p w14:paraId="7CBF1A8F" w14:textId="77777777" w:rsidR="0099032B" w:rsidRPr="00AC0FE6" w:rsidRDefault="0099032B" w:rsidP="0099032B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A6ACAF2" w14:textId="77777777" w:rsidR="00E67D5A" w:rsidRPr="00AC0FE6" w:rsidRDefault="00FD6FA5" w:rsidP="00AC0FE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C0FE6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الرابعة والستون 13/1/1433هـ</w:t>
      </w:r>
    </w:p>
    <w:sectPr w:rsidR="00E67D5A" w:rsidRPr="00AC0FE6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7EA61" w14:textId="77777777" w:rsidR="009118A3" w:rsidRDefault="009118A3" w:rsidP="00FD6FA5">
      <w:r>
        <w:separator/>
      </w:r>
    </w:p>
  </w:endnote>
  <w:endnote w:type="continuationSeparator" w:id="0">
    <w:p w14:paraId="2E80F4E5" w14:textId="77777777" w:rsidR="009118A3" w:rsidRDefault="009118A3" w:rsidP="00FD6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ED1DA2-C757-4960-A8A6-B3CBCC2987A1}"/>
    <w:embedBold r:id="rId2" w:fontKey="{F807790F-E11C-4831-9C4E-4DD6D640F5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84F1F3-5EDF-4D88-B849-1BC8CC6AFF9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B573A3B-D293-4041-BA24-46500F34273D}"/>
    <w:embedBold r:id="rId5" w:fontKey="{56B20AB8-26DA-4DB5-B9AE-FEB3F7D743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BA7B5FB-B476-41BA-8B03-9EC3AA331E3D}"/>
    <w:embedBold r:id="rId7" w:fontKey="{5F3064CB-7BE3-45C0-8FA5-767CDCF274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5DC7122-0897-4DA3-856E-96DA324745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513DFB4-6003-4CD5-B15F-EBDB0BB432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28BCE8D-4213-4A67-A30C-B21F684F0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A558A" w14:textId="77777777" w:rsidR="00FD6FA5" w:rsidRDefault="00FD6FA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1167495"/>
      <w:docPartObj>
        <w:docPartGallery w:val="Page Numbers (Bottom of Page)"/>
        <w:docPartUnique/>
      </w:docPartObj>
    </w:sdtPr>
    <w:sdtEndPr/>
    <w:sdtContent>
      <w:p w14:paraId="7A4D73F4" w14:textId="77777777" w:rsidR="00FD6FA5" w:rsidRDefault="00F2591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42EA" w:rsidRPr="002442EA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08665DB1" w14:textId="77777777" w:rsidR="00FD6FA5" w:rsidRDefault="00FD6FA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7DD06" w14:textId="77777777" w:rsidR="00FD6FA5" w:rsidRDefault="00FD6F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F7233" w14:textId="77777777" w:rsidR="009118A3" w:rsidRDefault="009118A3" w:rsidP="00FD6FA5">
      <w:r>
        <w:separator/>
      </w:r>
    </w:p>
  </w:footnote>
  <w:footnote w:type="continuationSeparator" w:id="0">
    <w:p w14:paraId="33E30C97" w14:textId="77777777" w:rsidR="009118A3" w:rsidRDefault="009118A3" w:rsidP="00FD6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D8AF1" w14:textId="77777777" w:rsidR="00FD6FA5" w:rsidRDefault="00FD6FA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537D7" w14:textId="77777777" w:rsidR="00FD6FA5" w:rsidRDefault="00FD6FA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920CF" w14:textId="77777777" w:rsidR="00FD6FA5" w:rsidRDefault="00FD6FA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6FA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5DB7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2EA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6C77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BD8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749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49FD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8A3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032B"/>
    <w:rsid w:val="0099313D"/>
    <w:rsid w:val="009932D2"/>
    <w:rsid w:val="009948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30D2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0FE6"/>
    <w:rsid w:val="00AC18A2"/>
    <w:rsid w:val="00AC2447"/>
    <w:rsid w:val="00AC26F8"/>
    <w:rsid w:val="00AC2731"/>
    <w:rsid w:val="00AC2DA3"/>
    <w:rsid w:val="00AC39DF"/>
    <w:rsid w:val="00AC4206"/>
    <w:rsid w:val="00AC4628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2F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94F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18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6FA5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875CBA"/>
  <w15:docId w15:val="{DCD25029-A178-4AFB-9DE0-4C959A9B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D6FA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FD6FA5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FD6FA5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FD6FA5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FD6FA5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99032B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99032B"/>
  </w:style>
  <w:style w:type="character" w:customStyle="1" w:styleId="Char2">
    <w:name w:val="نص تعليق Char"/>
    <w:basedOn w:val="a0"/>
    <w:link w:val="a7"/>
    <w:uiPriority w:val="99"/>
    <w:semiHidden/>
    <w:rsid w:val="0099032B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99032B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99032B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99032B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99032B"/>
    <w:rPr>
      <w:rFonts w:ascii="Tahoma" w:eastAsia="SimSun" w:hAnsi="Tahoma" w:cs="Tahoma"/>
      <w:noProof/>
      <w:sz w:val="18"/>
      <w:szCs w:val="18"/>
    </w:rPr>
  </w:style>
  <w:style w:type="paragraph" w:styleId="aa">
    <w:name w:val="Revision"/>
    <w:hidden/>
    <w:uiPriority w:val="99"/>
    <w:semiHidden/>
    <w:rsid w:val="0099032B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2012-12-29T09:53:00Z</dcterms:created>
  <dcterms:modified xsi:type="dcterms:W3CDTF">2020-01-13T19:05:00Z</dcterms:modified>
</cp:coreProperties>
</file>