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637" w:rsidRDefault="00AE6637" w:rsidP="00D54D5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AE663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فروض الوضوء وصفته</w:t>
      </w:r>
    </w:p>
    <w:p w:rsidR="00D54D50" w:rsidRDefault="00D54D50" w:rsidP="00D54D5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D54D50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نسيان مسح الأذنين في الوضوء</w:t>
      </w:r>
    </w:p>
    <w:p w:rsidR="00D54D50" w:rsidRPr="00D54D50" w:rsidRDefault="00D54D50" w:rsidP="00D54D50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6B6CFD" w:rsidRPr="00D54D50" w:rsidRDefault="00D54D50" w:rsidP="00D54D50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54D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B6CFD" w:rsidRPr="00D54D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6CFD" w:rsidRPr="00D54D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نسي مسح أذنيه في الوضوء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يلزمه إعادة وضوئه؟</w:t>
      </w:r>
    </w:p>
    <w:p w:rsidR="006B6CFD" w:rsidRPr="00D54D50" w:rsidRDefault="00D54D50" w:rsidP="00D54D50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54D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B6CFD" w:rsidRPr="00D54D5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6CFD" w:rsidRPr="004427B4">
        <w:rPr>
          <w:rFonts w:hint="cs"/>
          <w:sz w:val="36"/>
          <w:szCs w:val="36"/>
          <w:rtl/>
        </w:rPr>
        <w:t xml:space="preserve"> 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القول المحقق والمرجح أن الأذنين من الرأس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فلهما حكم مسح الرأس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ومسح الرأس من فروض الوضوء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ويجب تعميمه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لكنه ليس مثل الفروض التي يجب غسلها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لو فرَّط في ش</w:t>
      </w:r>
      <w:r>
        <w:rPr>
          <w:rFonts w:ascii="Simplified Arabic" w:hAnsi="Simplified Arabic" w:cs="Simplified Arabic" w:hint="cs"/>
          <w:sz w:val="28"/>
          <w:szCs w:val="28"/>
          <w:rtl/>
        </w:rPr>
        <w:t>يء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يسير 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من الرأس </w:t>
      </w:r>
      <w:r>
        <w:rPr>
          <w:rFonts w:ascii="Simplified Arabic" w:hAnsi="Simplified Arabic" w:cs="Simplified Arabic" w:hint="cs"/>
          <w:sz w:val="28"/>
          <w:szCs w:val="28"/>
          <w:rtl/>
        </w:rPr>
        <w:t>لم يصبه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البلل من المسح فأمره أسهل من غسل الوجه الذي يجب استيعابه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أو غسل اليدين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أو غسل الرجلين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مع الخلاف بين أهل العلم في أنه هل يجزئ مسح البعض</w:t>
      </w:r>
      <w:r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واختلافهم أيضًا في القدر المجزئ من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مسح الرأس أسهل من غسل الأعضاء الأخرى، فإذا مسح رأسه</w:t>
      </w:r>
      <w:r>
        <w:rPr>
          <w:rFonts w:ascii="Simplified Arabic" w:hAnsi="Simplified Arabic" w:cs="Simplified Arabic" w:hint="cs"/>
          <w:sz w:val="28"/>
          <w:szCs w:val="28"/>
          <w:rtl/>
        </w:rPr>
        <w:t>، فاستيعابه هو المطلوب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؛ لأنه هو الذي ينطبق عليه اسم الرأس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وأما من قال من أهل العلم بأن الأذنين من الوجه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فرأى وجوب غسلهما، كما 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نقل</w:t>
      </w:r>
      <w:r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ابن عبد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البر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54D50">
        <w:rPr>
          <w:rFonts w:ascii="Simplified Arabic" w:hAnsi="Simplified Arabic" w:cs="Simplified Arabic" w:hint="cs"/>
          <w:sz w:val="28"/>
          <w:szCs w:val="28"/>
          <w:rtl/>
        </w:rPr>
        <w:t>الاستذكار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عن ابن شهاب أنه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"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الأذنان من الوجه؛ لأنهما مما يواجه</w:t>
      </w:r>
      <w:r>
        <w:rPr>
          <w:rFonts w:ascii="Simplified Arabic" w:hAnsi="Simplified Arabic" w:cs="Simplified Arabic" w:hint="cs"/>
          <w:sz w:val="28"/>
          <w:szCs w:val="28"/>
          <w:rtl/>
        </w:rPr>
        <w:t>ك،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ولا ينبت عليهما شعر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رأس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وما لا ينبت عليه شعر </w:t>
      </w:r>
      <w:r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رأس فهو من الوجه إذا كان فوق الذقن ولم يكن قف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وقد أمر الله بغسل الوجه أمرًا مطلقًا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وكل ما واجهك فهو وجه</w:t>
      </w:r>
      <w:r>
        <w:rPr>
          <w:rFonts w:ascii="Simplified Arabic" w:hAnsi="Simplified Arabic" w:cs="Simplified Arabic" w:hint="cs"/>
          <w:sz w:val="28"/>
          <w:szCs w:val="28"/>
          <w:rtl/>
        </w:rPr>
        <w:t>"،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إذا قلنا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ن الأذنين من الوجه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وجب غسلهما واستيعابهما في الغسل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وإذا قلنا</w:t>
      </w:r>
      <w:r>
        <w:rPr>
          <w:rFonts w:ascii="Simplified Arabic" w:hAnsi="Simplified Arabic" w:cs="Simplified Arabic" w:hint="cs"/>
          <w:sz w:val="28"/>
          <w:szCs w:val="28"/>
          <w:rtl/>
        </w:rPr>
        <w:t>: إنهما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من الرأس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>وهو قول جماهير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6B6CFD" w:rsidRPr="00D54D50">
        <w:rPr>
          <w:rFonts w:ascii="Simplified Arabic" w:hAnsi="Simplified Arabic" w:cs="Simplified Arabic" w:hint="cs"/>
          <w:sz w:val="28"/>
          <w:szCs w:val="28"/>
          <w:rtl/>
        </w:rPr>
        <w:t xml:space="preserve"> فإنه يكتفى بمسحهما ولا يشدد في أمرهما مثل ما يشدد في الوجه.</w:t>
      </w:r>
    </w:p>
    <w:p w:rsidR="006B6CFD" w:rsidRPr="00D54D50" w:rsidRDefault="006B6CFD" w:rsidP="00D54D50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54D50" w:rsidRDefault="006B6CFD" w:rsidP="00D54D50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D54D50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السا</w:t>
      </w:r>
      <w:r w:rsidRPr="00D54D50">
        <w:rPr>
          <w:rFonts w:ascii="Simplified Arabic" w:hAnsi="Simplified Arabic" w:cs="Simplified Arabic" w:hint="cs"/>
          <w:sz w:val="28"/>
          <w:szCs w:val="28"/>
          <w:rtl/>
        </w:rPr>
        <w:t>بع</w:t>
      </w:r>
      <w:r w:rsidRPr="00D54D50">
        <w:rPr>
          <w:rFonts w:ascii="Simplified Arabic" w:hAnsi="Simplified Arabic" w:cs="Simplified Arabic"/>
          <w:sz w:val="28"/>
          <w:szCs w:val="28"/>
          <w:rtl/>
        </w:rPr>
        <w:t xml:space="preserve">ة والستون </w:t>
      </w:r>
      <w:r w:rsidRPr="00D54D50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D54D50">
        <w:rPr>
          <w:rFonts w:ascii="Simplified Arabic" w:hAnsi="Simplified Arabic" w:cs="Simplified Arabic"/>
          <w:sz w:val="28"/>
          <w:szCs w:val="28"/>
          <w:rtl/>
        </w:rPr>
        <w:t>/</w:t>
      </w:r>
      <w:r w:rsidRPr="00D54D50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D54D50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D54D5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AE09D5-E0D3-44C9-A152-06A921E86C3E}"/>
    <w:embedBold r:id="rId2" w:fontKey="{C61AAB31-7E5C-48A4-AA69-9519AD29E6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FB5B46-0011-43BA-95FA-CFE165E49B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8A4529C-4D29-471E-ADA1-C418C9D764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008EE43-B6DE-4552-8AC1-85C27A5E2EAD}"/>
    <w:embedBold r:id="rId6" w:fontKey="{9B014E01-BAEA-4176-870C-6CBE74CCE2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5AF57D9-2DAB-4CD1-9109-3EE72B2EC4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8DC6765-2489-4901-8951-97C05BB4C6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6CF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6CFD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37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4D50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37E905"/>
  <w15:docId w15:val="{CC7C5656-BF83-4D6E-B16F-2DF5E6C9A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6CF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cp:lastPrinted>2015-04-05T10:59:00Z</cp:lastPrinted>
  <dcterms:created xsi:type="dcterms:W3CDTF">2012-12-30T05:50:00Z</dcterms:created>
  <dcterms:modified xsi:type="dcterms:W3CDTF">2019-07-10T10:32:00Z</dcterms:modified>
</cp:coreProperties>
</file>