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5E5D" w:rsidRPr="00015E5D" w:rsidRDefault="00015E5D" w:rsidP="00015E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5E5D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015E5D" w:rsidRPr="00015E5D" w:rsidRDefault="00015E5D" w:rsidP="00015E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015E5D">
        <w:rPr>
          <w:rFonts w:ascii="Simplified Arabic" w:hAnsi="Simplified Arabic" w:hint="cs"/>
          <w:color w:val="0000FF"/>
          <w:sz w:val="28"/>
          <w:szCs w:val="28"/>
          <w:rtl/>
        </w:rPr>
        <w:t>مس الحائض للمصحف بدون حائل خجلًا</w:t>
      </w:r>
    </w:p>
    <w:p w:rsidR="00015E5D" w:rsidRPr="00015E5D" w:rsidRDefault="00015E5D" w:rsidP="00015E5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62793" w:rsidRDefault="00015E5D" w:rsidP="00015E5D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</w:rPr>
      </w:pPr>
      <w:r w:rsidRPr="00015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62793" w:rsidRPr="00015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62793" w:rsidRPr="0001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أنا كنت أمسك بالمصحف </w:t>
      </w:r>
      <w:r w:rsidRPr="0001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وأنا</w:t>
      </w:r>
      <w:r w:rsidR="00262793" w:rsidRPr="0001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حائض</w:t>
      </w:r>
      <w:r w:rsidRPr="0001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262793" w:rsidRPr="0001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بسبب خجل</w:t>
      </w:r>
      <w:r w:rsidRPr="0001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ي،</w:t>
      </w:r>
      <w:r w:rsidR="00262793" w:rsidRPr="0001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</w:t>
      </w:r>
      <w:r w:rsidRPr="0001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</w:t>
      </w:r>
      <w:r w:rsidR="00897CC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bookmarkStart w:id="0" w:name="_GoBack"/>
      <w:bookmarkEnd w:id="0"/>
      <w:r w:rsidR="00262793" w:rsidRPr="00015E5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شيء الآن؟</w:t>
      </w:r>
    </w:p>
    <w:p w:rsidR="00262793" w:rsidRPr="00015E5D" w:rsidRDefault="00015E5D" w:rsidP="00015E5D">
      <w:pPr>
        <w:spacing w:after="160" w:line="259" w:lineRule="auto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015E5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لا يجوز للمحدث أن يمس المصحف</w:t>
      </w:r>
      <w:r w:rsidRPr="001103B3">
        <w:rPr>
          <w:rFonts w:ascii="Simplified Arabic" w:hAnsi="Simplified Arabic" w:cs="Simplified Arabic" w:hint="cs"/>
          <w:sz w:val="28"/>
          <w:szCs w:val="28"/>
          <w:rtl/>
        </w:rPr>
        <w:t>؛ لما ورد</w:t>
      </w:r>
      <w:r w:rsidRPr="001103B3">
        <w:rPr>
          <w:rFonts w:ascii="Simplified Arabic" w:hAnsi="Simplified Arabic" w:cs="Simplified Arabic"/>
          <w:sz w:val="28"/>
          <w:szCs w:val="28"/>
          <w:rtl/>
        </w:rPr>
        <w:t xml:space="preserve"> في الكتاب الذي كتبه رسول الله </w:t>
      </w:r>
      <w:r w:rsidRPr="001103B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1103B3">
        <w:rPr>
          <w:rFonts w:ascii="Simplified Arabic" w:hAnsi="Simplified Arabic" w:cs="Simplified Arabic"/>
          <w:sz w:val="28"/>
          <w:szCs w:val="28"/>
          <w:rtl/>
        </w:rPr>
        <w:t>صلى الله عليه وسلم</w:t>
      </w:r>
      <w:r w:rsidRPr="001103B3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1103B3">
        <w:rPr>
          <w:rFonts w:ascii="Simplified Arabic" w:hAnsi="Simplified Arabic" w:cs="Simplified Arabic"/>
          <w:sz w:val="28"/>
          <w:szCs w:val="28"/>
          <w:rtl/>
        </w:rPr>
        <w:t xml:space="preserve"> لعمرو بن حزم: </w:t>
      </w:r>
      <w:r w:rsidRPr="001103B3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>«ألا يمس القرآن</w:t>
      </w:r>
      <w:r w:rsidRPr="00015E5D">
        <w:rPr>
          <w:rFonts w:ascii="Simplified Arabic" w:eastAsiaTheme="minorHAnsi" w:hAnsi="Simplified Arabic" w:cs="Simplified Arabic"/>
          <w:b/>
          <w:bCs/>
          <w:noProof w:val="0"/>
          <w:color w:val="0000FF"/>
          <w:sz w:val="28"/>
          <w:szCs w:val="28"/>
          <w:rtl/>
          <w:lang w:bidi="ar-EG"/>
        </w:rPr>
        <w:t xml:space="preserve"> إلا طاهر»</w:t>
      </w:r>
      <w:r w:rsidRPr="00015E5D">
        <w:rPr>
          <w:rFonts w:ascii="Simplified Arabic" w:eastAsiaTheme="minorHAnsi" w:hAnsi="Simplified Arabic" w:cs="Simplified Arabic" w:hint="cs"/>
          <w:b/>
          <w:bCs/>
          <w:noProof w:val="0"/>
          <w:color w:val="0000FF"/>
          <w:sz w:val="28"/>
          <w:szCs w:val="28"/>
          <w:rtl/>
          <w:lang w:bidi="ar-EG"/>
        </w:rPr>
        <w:t xml:space="preserve"> </w:t>
      </w:r>
      <w:r w:rsidRPr="00015E5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[الموطأ: 1/199]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وعلى هذا لا تمسك المصحف إلا بحائل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>إذا كان هناك حائل يحول دونها ودونه فإنه لا مانع من ذلك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، مع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أنه ن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قل عن بعض السلف كما في </w:t>
      </w:r>
      <w:r w:rsidR="00234962">
        <w:rPr>
          <w:rFonts w:ascii="Simplified Arabic" w:hAnsi="Simplified Arabic" w:cs="Simplified Arabic" w:hint="cs"/>
          <w:sz w:val="28"/>
          <w:szCs w:val="28"/>
          <w:rtl/>
        </w:rPr>
        <w:t>(الموطأ</w:t>
      </w:r>
      <w:r w:rsidRPr="00234962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أنه لا يجوز للمحدث أن يحمل المصحف ولا بعلاقته </w:t>
      </w:r>
      <w:r w:rsidRPr="00015E5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[الموطأ: 1/199]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>وهذا لا شك أن فيه شي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ئًا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من التحري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أما إذا لم يباشر المصحف 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بيده، وإنما أمسكه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مع وجود الحائل 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لا مانع 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والخجل موجود في عامة الناس ولا سيما عند النساء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ومع الأسف أنه يوجد بعض النساء من يجب عليها الغسل من الجنابة فتغتسل ولا تغسل رأسها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لئلا ي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>شعر أنها اغتسلت من جنابة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>تخجل أن يراها الناس ورأسها ينطف ماء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ً،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وهذا في السابق أما الآن فيمكن تجفيفه بالمجففات ويزول هذا المحذور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الالتفات إلى مثل هذا السبب في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>ر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>ك فرض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من فرائض الغسل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، وحينئذٍ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الغسل غير صحيح، 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>وهذا الخجل ليس في محله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262793"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ولا يجوز النظر إليه والالتفات إليه.</w:t>
      </w:r>
    </w:p>
    <w:p w:rsidR="00015E5D" w:rsidRPr="00015E5D" w:rsidRDefault="00015E5D" w:rsidP="00015E5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015E5D" w:rsidRDefault="00262793" w:rsidP="00015E5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015E5D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 xml:space="preserve"> الخامسة و</w:t>
      </w:r>
      <w:r w:rsidRPr="00015E5D">
        <w:rPr>
          <w:rFonts w:ascii="Simplified Arabic" w:hAnsi="Simplified Arabic" w:cs="Simplified Arabic"/>
          <w:sz w:val="28"/>
          <w:szCs w:val="28"/>
          <w:rtl/>
        </w:rPr>
        <w:t>ال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سبعون</w:t>
      </w:r>
      <w:r w:rsidRPr="00015E5D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30</w:t>
      </w:r>
      <w:r w:rsidRPr="00015E5D">
        <w:rPr>
          <w:rFonts w:ascii="Simplified Arabic" w:hAnsi="Simplified Arabic" w:cs="Simplified Arabic"/>
          <w:sz w:val="28"/>
          <w:szCs w:val="28"/>
          <w:rtl/>
        </w:rPr>
        <w:t>/</w:t>
      </w:r>
      <w:r w:rsidRPr="00015E5D">
        <w:rPr>
          <w:rFonts w:ascii="Simplified Arabic" w:hAnsi="Simplified Arabic" w:cs="Simplified Arabic" w:hint="cs"/>
          <w:sz w:val="28"/>
          <w:szCs w:val="28"/>
          <w:rtl/>
        </w:rPr>
        <w:t>3</w:t>
      </w:r>
      <w:r w:rsidRPr="00015E5D">
        <w:rPr>
          <w:rFonts w:ascii="Simplified Arabic" w:hAnsi="Simplified Arabic" w:cs="Simplified Arabic"/>
          <w:sz w:val="28"/>
          <w:szCs w:val="28"/>
          <w:rtl/>
        </w:rPr>
        <w:t>/1433ه</w:t>
      </w:r>
    </w:p>
    <w:sectPr w:rsidR="00E67D5A" w:rsidRPr="00015E5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3CCCA5-5278-41BF-805A-264B8B063E7F}"/>
    <w:embedBold r:id="rId2" w:fontKey="{C2B27B67-3199-42B9-9635-24DA5A3CF57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5DCD698-D8C7-4877-A88B-D051C4DB08DD}"/>
    <w:embedBold r:id="rId4" w:fontKey="{5D2999F8-DDA0-449B-9D7B-259ADC8C57C6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D1673F93-18E7-46A5-B468-DECCA65BD042}"/>
    <w:embedBold r:id="rId6" w:fontKey="{B11E94CD-1B3E-4C5E-BA53-6B3CF0CE4C4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BBD0B44D-F608-47A2-AC26-EDF02E979AEF}"/>
    <w:embedBold r:id="rId8" w:fontKey="{425A2F8C-81EF-408F-ACCA-F17FE0ECD7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415A843-41A0-4AF7-8E70-5616AE766A44}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5D73D29A-6CA1-4757-AE33-EA7C8648883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2D3395A4-6081-4236-BCEB-A1032331EA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6279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5E5D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3B3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4962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2793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988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97CC7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476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1A52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77E8D7B"/>
  <w15:docId w15:val="{B085E2F0-8D97-4736-ACBA-BC953D80B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2793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015E5D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015E5D"/>
  </w:style>
  <w:style w:type="character" w:customStyle="1" w:styleId="Char0">
    <w:name w:val="نص تعليق Char"/>
    <w:basedOn w:val="a0"/>
    <w:link w:val="a5"/>
    <w:uiPriority w:val="99"/>
    <w:semiHidden/>
    <w:rsid w:val="00015E5D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015E5D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015E5D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015E5D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015E5D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162</Words>
  <Characters>925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9</cp:revision>
  <cp:lastPrinted>2015-06-03T03:46:00Z</cp:lastPrinted>
  <dcterms:created xsi:type="dcterms:W3CDTF">2012-12-31T08:29:00Z</dcterms:created>
  <dcterms:modified xsi:type="dcterms:W3CDTF">2019-07-10T16:04:00Z</dcterms:modified>
</cp:coreProperties>
</file>