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473" w:rsidRPr="00A91473" w:rsidRDefault="00A91473" w:rsidP="00A914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1473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A91473" w:rsidRPr="00A91473" w:rsidRDefault="00A91473" w:rsidP="00A914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1473">
        <w:rPr>
          <w:rFonts w:ascii="Simplified Arabic" w:hAnsi="Simplified Arabic" w:hint="cs"/>
          <w:color w:val="0000FF"/>
          <w:sz w:val="28"/>
          <w:szCs w:val="28"/>
          <w:rtl/>
        </w:rPr>
        <w:t>التعارض بين السنة القولية والسنة الفعلية</w:t>
      </w:r>
    </w:p>
    <w:p w:rsidR="00A91473" w:rsidRPr="00A91473" w:rsidRDefault="00A91473" w:rsidP="00A914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23407" w:rsidRPr="00A91473" w:rsidRDefault="00A91473" w:rsidP="00A9147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14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3407" w:rsidRPr="00A914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3407" w:rsidRPr="00A914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وقع التعارض بين سنة قولية وسنة فعلية فأيهما أقوى؟</w:t>
      </w:r>
    </w:p>
    <w:p w:rsidR="00723407" w:rsidRPr="00D615ED" w:rsidRDefault="00A91473" w:rsidP="00D615E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14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23407" w:rsidRPr="00A914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3407">
        <w:rPr>
          <w:rFonts w:hint="cs"/>
          <w:sz w:val="36"/>
          <w:szCs w:val="36"/>
          <w:rtl/>
        </w:rPr>
        <w:t xml:space="preserve"> 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العلماء يقررون في مثل هذه الح</w:t>
      </w:r>
      <w:r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الة أن السنة القولية هي المقدمة؛ 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الفعل لا عموم له فيحتمل الخصوصية</w:t>
      </w:r>
      <w:r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بالنسبة للقول فيعم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فيحتمل أن النبي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أمر بشيء أو نهى عن شيء وفعل خلاف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ه، فحينئذٍ يكون فعله خاصًا به إن 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نستطع أن نوفق بين القول والفعل بأن ي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القول على الكراهة أو الاستحباب ويكون الفعل صارفًا له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ففعله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فيما يخالف قوله يكون صارفًا للأمر من الوجوب إلى الاستحباب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من التحريم إلى الكراهية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فإما أن يحمل على هذا إذا أمكن إذا كان فيه أمر أو نهي أو يقال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هذا خاص به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فجاء النهي عن استقبال القبلة ببول أو غائط ثم قال ابن عمر</w:t>
      </w:r>
      <w:r w:rsid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15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15ED" w:rsidRPr="00D615E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«ارتقيت فوق ظهر بيت حفصة لبعض حاجتي، فرأيت رسول الله </w:t>
      </w:r>
      <w:r w:rsidR="00D615ED" w:rsidRPr="00D615E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D615ED" w:rsidRPr="00D615E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صلى الله عليه وسلم</w:t>
      </w:r>
      <w:r w:rsidR="00D615ED" w:rsidRPr="00D615E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-</w:t>
      </w:r>
      <w:r w:rsidR="00D615ED" w:rsidRPr="00D615E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يقضي حاجته مستدبر القبلة، مستقبل الشأم»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15ED" w:rsidRPr="00D615E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D615ED" w:rsidRPr="00D615E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148</w:t>
      </w:r>
      <w:r w:rsidR="00D615ED" w:rsidRPr="00D615E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فاختلف العلماء في التوفيق بين النهي عن الاستقبال والاستدبار مع فعله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فنمهم من قال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هذا ناسخ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متأخر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حمله على أنه في البنيان ويكون النهي في الفضاء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قال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هذا خاص به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تقديري أن هذا لا وجه له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تعظيم القبلة تعظيم لشعائر الله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أولى به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كمال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كل كمال يطلب من الأمة فالنبي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أولى به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فحمله على ما في البنيان دون الصحاري أوجه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ذلكم النهي عن الشرب قائمًا وثبت عنه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شرب قائمًا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فمن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العلماء 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يقول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ناسخ للنهي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صارف للنهي من التحريم إلى الكراهية</w:t>
      </w:r>
      <w:r w:rsidR="00D615ED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407"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غير ذلك من الأدلة الكثيرة في هذا الباب.</w:t>
      </w:r>
    </w:p>
    <w:p w:rsidR="00A91473" w:rsidRPr="00D615ED" w:rsidRDefault="00A91473" w:rsidP="00D615E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Default="00723407" w:rsidP="00D615ED">
      <w:pPr>
        <w:spacing w:after="160" w:line="259" w:lineRule="auto"/>
        <w:jc w:val="both"/>
      </w:pPr>
      <w:r w:rsidRPr="00D615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D615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615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615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D615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0C63AE-875F-4FFB-9C0D-189ACC5C9299}"/>
    <w:embedBold r:id="rId2" w:fontKey="{A90C4BF0-C89D-4AE3-B9D0-D917A5410C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BC5614-837B-4770-B056-2D1903E027B6}"/>
    <w:embedBold r:id="rId4" w:fontKey="{22FECA68-A495-4C23-8234-ED1D53FD109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B16522D-B9B7-418D-BB4C-EBBA279565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4F7C0EC-161E-4D98-B515-829744D552DD}"/>
    <w:embedBold r:id="rId7" w:fontKey="{C78A2074-6512-4162-AD3B-A01F4C2D81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F649BE0-8FD8-4132-AB28-20C8432C18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C6BDBDC-4976-4F0B-9CEB-4E3E5A6747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340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17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407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1473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5E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D32276F-DC2F-4B1B-9630-1B244FC1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40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2013-01-01T07:54:00Z</dcterms:created>
  <dcterms:modified xsi:type="dcterms:W3CDTF">2019-07-11T15:03:00Z</dcterms:modified>
</cp:coreProperties>
</file>