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33B0" w:rsidRPr="00AC33B0" w:rsidRDefault="00AC33B0" w:rsidP="00AC33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33B0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</w:p>
    <w:p w:rsidR="00AC33B0" w:rsidRPr="00AC33B0" w:rsidRDefault="00AC33B0" w:rsidP="00AC33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33B0">
        <w:rPr>
          <w:rFonts w:ascii="Simplified Arabic" w:hAnsi="Simplified Arabic" w:hint="cs"/>
          <w:color w:val="0000FF"/>
          <w:sz w:val="28"/>
          <w:szCs w:val="28"/>
          <w:rtl/>
        </w:rPr>
        <w:t>الحلف على غلبة الظن</w:t>
      </w:r>
    </w:p>
    <w:p w:rsidR="00AC33B0" w:rsidRPr="00AC33B0" w:rsidRDefault="00AC33B0" w:rsidP="00AC33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11677" w:rsidRPr="00AC33B0" w:rsidRDefault="00AC33B0" w:rsidP="00AC33B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C33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11677" w:rsidRPr="00AC33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11677" w:rsidRPr="00AC33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حلف الشخص على شيء وهو شبه متأكد أن هذا الشيء صحيح وتبين خلاف ذلك</w:t>
      </w:r>
      <w:r w:rsidRPr="00AC33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هل يحنث</w:t>
      </w:r>
      <w:r w:rsidR="00311677" w:rsidRPr="00AC33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C33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311677" w:rsidRPr="00AC33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تجب عليه كفارة؟</w:t>
      </w:r>
    </w:p>
    <w:p w:rsidR="00E67D5A" w:rsidRPr="00AC33B0" w:rsidRDefault="00AC33B0" w:rsidP="00873E8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33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11677" w:rsidRPr="00AC33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إذا حلف الشخص على شيء وهو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شبه متأكد يعني على غلبة 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>ظن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ليس بمتأكد ولا متيقن إنما حلف على غلبة ظنه فجمع من أهل العلم يرون أنه لا كفارة عليه بناء على غلبة الظن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ويستدلون بأن المجامع في نهار رمضان حلف بين يدي النبي -صلى الله عليه وسلم- </w:t>
      </w:r>
      <w:r w:rsidRPr="00AC33B0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</w:t>
      </w:r>
      <w:r w:rsidRPr="00AC33B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فوالله ما بين لابتيها أهل بيت أفقر من أهل بيتي</w:t>
      </w:r>
      <w:r w:rsidRPr="00AC33B0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</w:t>
      </w:r>
      <w:r>
        <w:rPr>
          <w:rFonts w:ascii="Traditional Arabic" w:eastAsiaTheme="minorHAnsi" w:hAnsi="Traditional Arabic" w:hint="cs"/>
          <w:b/>
          <w:bCs/>
          <w:noProof w:val="0"/>
          <w:color w:val="000000"/>
          <w:sz w:val="44"/>
          <w:szCs w:val="44"/>
          <w:rtl/>
        </w:rPr>
        <w:t xml:space="preserve"> </w:t>
      </w:r>
      <w:r w:rsidRPr="00AC33B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AC33B0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1936</w:t>
      </w:r>
      <w:r w:rsidRPr="00AC33B0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Traditional Arabic" w:eastAsiaTheme="minorHAnsi" w:hAnsi="Traditional Arabic" w:hint="cs"/>
          <w:b/>
          <w:bCs/>
          <w:noProof w:val="0"/>
          <w:color w:val="000000"/>
          <w:sz w:val="44"/>
          <w:szCs w:val="44"/>
          <w:rtl/>
        </w:rPr>
        <w:t>،</w:t>
      </w:r>
      <w:r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>فحلف على غلبة ظنه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لأنه لم يفتش بيوت المدينة بيت</w:t>
      </w:r>
      <w:r>
        <w:rPr>
          <w:rFonts w:ascii="Simplified Arabic" w:hAnsi="Simplified Arabic" w:cs="Simplified Arabic" w:hint="cs"/>
          <w:sz w:val="28"/>
          <w:szCs w:val="28"/>
          <w:rtl/>
        </w:rPr>
        <w:t>ًا بيتًا حتى يجزم بأنهم أفقر من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غيرهم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وإنما حلف على غلبة ظنه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ولم يلزمه النبي -عليه الصلاة والسلام- بكفارة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ومن أهل العلم من يرى أنه لا يحلف إلا على ما تيقن من صحته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إذا تبيّن خلاف ذلك وقد حلف على غلبة ظنه فعلى القول الأول لا شيء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لأن النبي -عليه الصلاة والسلام- لم يلزم الـمُجامع في نهار رمضان لم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>ا حلف على غلبة ظنه بكفارة يمين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إلا أنه قد يقال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إنه لم يتبين الأمر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وفي السؤال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(وتبين خلاف ذلك)، 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>وعلى كل حال في مثل هذه الصورة الأحوط أن يكفر كفارة يمين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وهي إطعام عشرة مساكين أو كسوتهم أو تحرير رقبة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فمن لم يجد فصيام ثلاثة أيام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هذا من باب الاحتياط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فالقول الأول وجيه أنه إذا حلف على غلبة ظنه كان كالمتيقن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لأن أكثر الأحكام مبناها على غلبة الظن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11677" w:rsidRPr="00AC33B0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311677" w:rsidRPr="00AC33B0" w:rsidRDefault="00311677" w:rsidP="00AC33B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11677" w:rsidRPr="00AC33B0" w:rsidRDefault="00311677" w:rsidP="00AC33B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C33B0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AC33B0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AC33B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33B0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AC33B0">
        <w:rPr>
          <w:rFonts w:ascii="Simplified Arabic" w:hAnsi="Simplified Arabic" w:cs="Simplified Arabic"/>
          <w:sz w:val="28"/>
          <w:szCs w:val="28"/>
          <w:rtl/>
        </w:rPr>
        <w:t>/</w:t>
      </w:r>
      <w:r w:rsidRPr="00AC33B0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AC33B0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311677" w:rsidRPr="00AC33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4964" w:rsidRDefault="00EA4964" w:rsidP="00311677">
      <w:r>
        <w:separator/>
      </w:r>
    </w:p>
  </w:endnote>
  <w:endnote w:type="continuationSeparator" w:id="0">
    <w:p w:rsidR="00EA4964" w:rsidRDefault="00EA4964" w:rsidP="00311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891C93-54F5-450F-A15A-EC550FF9978E}"/>
    <w:embedBold r:id="rId2" w:fontKey="{2EFF1B4C-DBF4-4D52-99B2-8EA3A39014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EA4375-E8F1-4C57-9FF8-09840757D66B}"/>
    <w:embedBold r:id="rId4" w:fontKey="{502D35C4-30BA-41C9-8986-E9718072511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29E325A-28B6-44D7-88A6-2CF98B2D99E9}"/>
    <w:embedBold r:id="rId6" w:fontKey="{5A1EA76E-DA11-4F13-B436-F725F157B8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58E5CEC4-EB12-4427-A224-2F132AFD49F8}"/>
    <w:embedBold r:id="rId8" w:fontKey="{116A6BF2-B56E-4400-AF91-ABCCB9EFD4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7D5C523-6A38-4907-9FC2-748B488E46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0CB953C-6685-4786-AB61-3143705FB0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4964" w:rsidRDefault="00EA4964" w:rsidP="00311677">
      <w:r>
        <w:separator/>
      </w:r>
    </w:p>
  </w:footnote>
  <w:footnote w:type="continuationSeparator" w:id="0">
    <w:p w:rsidR="00EA4964" w:rsidRDefault="00EA4964" w:rsidP="003116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167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677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428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E82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19E0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3B0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1C17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455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4964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831C8E"/>
  <w15:docId w15:val="{0C472027-87C3-44E3-90B8-9257C6368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167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311677"/>
  </w:style>
  <w:style w:type="character" w:customStyle="1" w:styleId="Char0">
    <w:name w:val="نص حاشية سفلية Char"/>
    <w:basedOn w:val="a0"/>
    <w:link w:val="a4"/>
    <w:semiHidden/>
    <w:rsid w:val="00311677"/>
    <w:rPr>
      <w:rFonts w:eastAsia="SimSun"/>
      <w:noProof/>
      <w:sz w:val="20"/>
      <w:szCs w:val="20"/>
    </w:rPr>
  </w:style>
  <w:style w:type="character" w:styleId="a5">
    <w:name w:val="footnote reference"/>
    <w:semiHidden/>
    <w:rsid w:val="003116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2013-01-30T07:55:00Z</dcterms:created>
  <dcterms:modified xsi:type="dcterms:W3CDTF">2019-07-13T11:24:00Z</dcterms:modified>
</cp:coreProperties>
</file>