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DCF" w:rsidRPr="00280DCF" w:rsidRDefault="00E21502" w:rsidP="00280D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العدة</w:t>
      </w:r>
    </w:p>
    <w:p w:rsidR="00280DCF" w:rsidRPr="00280DCF" w:rsidRDefault="00280DCF" w:rsidP="00280D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80DCF">
        <w:rPr>
          <w:rFonts w:ascii="Simplified Arabic" w:hAnsi="Simplified Arabic" w:hint="cs"/>
          <w:color w:val="0000FF"/>
          <w:sz w:val="28"/>
          <w:szCs w:val="28"/>
          <w:rtl/>
        </w:rPr>
        <w:t>عدة من توفي عنها زوجها قبل الدخول والوطء</w:t>
      </w:r>
    </w:p>
    <w:p w:rsidR="00280DCF" w:rsidRPr="00280DCF" w:rsidRDefault="00280DCF" w:rsidP="00280D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F94F8E" w:rsidRPr="00280DCF" w:rsidRDefault="00280DCF" w:rsidP="00280D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80D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94F8E" w:rsidRPr="00280D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4F8E" w:rsidRPr="00280D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رج</w:t>
      </w:r>
      <w:r w:rsidRPr="00280D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 توفي ليلة زفافه ولم يطأ زوجته، </w:t>
      </w:r>
      <w:r w:rsidR="00F94F8E" w:rsidRPr="00280D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زوجته تدخل في العدة أم لا؟ </w:t>
      </w:r>
    </w:p>
    <w:p w:rsidR="00280DCF" w:rsidRPr="00280DCF" w:rsidRDefault="00280DCF" w:rsidP="00280DC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80D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94F8E" w:rsidRPr="00280D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المتوفى قبل الدخول هذا تلزم زوجتَه العدة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وليس مثل المطلِّق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>المطلِّق قبل الدخول هذا لا تلزمه العدة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، قال الله تعالى: </w:t>
      </w:r>
      <w:r w:rsidRPr="00280DC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{</w:t>
      </w:r>
      <w:r w:rsidRPr="00280DC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فَمَا لَكُمْ عَلَيْهِنَّ مِنْ عِدَّةٍ تَعْتَدُّونَهَا</w:t>
      </w:r>
      <w:r w:rsidRPr="00280DCF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[</w:t>
      </w:r>
      <w:r w:rsidR="00F94F8E" w:rsidRPr="00280DCF">
        <w:rPr>
          <w:rFonts w:ascii="Simplified Arabic" w:hAnsi="Simplified Arabic" w:cs="Simplified Arabic"/>
          <w:sz w:val="28"/>
          <w:szCs w:val="28"/>
          <w:rtl/>
        </w:rPr>
        <w:t>الأحزاب: ٤٩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]، 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>هذا بالنسبة للطلاق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4F8E"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أما بالنسبة للوفاة فإن العدة 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لازمة والإحداد لازم والإرث ثابت من العقد سواء وطئ أو لم يطأ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دخل أو لم يدخل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 xml:space="preserve"> مادام عقد عليها فهي زوجته، أما في حال الطلاق قبل الدخول فإنه لا عدة له عليها، والله أعلم.</w:t>
      </w:r>
    </w:p>
    <w:p w:rsidR="00F94F8E" w:rsidRPr="00280DCF" w:rsidRDefault="00F94F8E" w:rsidP="00280DC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80DCF" w:rsidRDefault="00F94F8E" w:rsidP="00280DC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80DCF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الثالثة والثمانون</w:t>
      </w:r>
      <w:r w:rsidRPr="00280DCF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27</w:t>
      </w:r>
      <w:r w:rsidRPr="00280DCF">
        <w:rPr>
          <w:rFonts w:ascii="Simplified Arabic" w:hAnsi="Simplified Arabic" w:cs="Simplified Arabic"/>
          <w:sz w:val="28"/>
          <w:szCs w:val="28"/>
          <w:rtl/>
        </w:rPr>
        <w:t>/</w:t>
      </w:r>
      <w:r w:rsidRPr="00280DCF">
        <w:rPr>
          <w:rFonts w:ascii="Simplified Arabic" w:hAnsi="Simplified Arabic" w:cs="Simplified Arabic" w:hint="cs"/>
          <w:sz w:val="28"/>
          <w:szCs w:val="28"/>
          <w:rtl/>
        </w:rPr>
        <w:t>5</w:t>
      </w:r>
      <w:r w:rsidRPr="00280DCF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80D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2B1B63-BFD6-4A95-911D-F15497A208B7}"/>
    <w:embedBold r:id="rId2" w:fontKey="{C75A04BC-55A5-424E-A487-BE4FB6950A7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609E1B-D67A-44B0-8666-60CF42F114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ED14CB3-9339-4095-A296-9E1AE5EBEB1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10B5C28-F0BC-47D0-B0B7-51534BC8CC99}"/>
    <w:embedBold r:id="rId6" w:fontKey="{D53E724D-3806-4C2C-A89C-34EEC17D2A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774AD7E-C0F9-4C12-B3FE-B0099E33324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8322E09-D7BC-4F36-9393-9305B470D9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4F8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DCF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502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4F8E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EA2540E"/>
  <w15:docId w15:val="{E6473848-62B8-46D4-87AD-5A85AB853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4F8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2013-01-30T08:05:00Z</dcterms:created>
  <dcterms:modified xsi:type="dcterms:W3CDTF">2019-07-13T11:34:00Z</dcterms:modified>
</cp:coreProperties>
</file>