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C33C6" w14:textId="77777777" w:rsidR="00D451D4" w:rsidRPr="004D6C3A" w:rsidRDefault="00D451D4" w:rsidP="00D451D4">
      <w:pPr>
        <w:pStyle w:val="NormalWeb"/>
        <w:bidi/>
        <w:spacing w:before="0" w:beforeAutospacing="0" w:after="0" w:afterAutospacing="0" w:line="240" w:lineRule="atLeast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eastAsia="en-US"/>
        </w:rPr>
      </w:pPr>
      <w:r w:rsidRPr="004D6C3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  <w:lang w:eastAsia="en-US"/>
        </w:rPr>
        <w:t>[قد يخفى على الكبير ما يعرفه الصغير]</w:t>
      </w:r>
    </w:p>
    <w:p w14:paraId="760B396C" w14:textId="77777777" w:rsidR="00D451D4" w:rsidRPr="004D6C3A" w:rsidRDefault="00D451D4" w:rsidP="00D451D4">
      <w:pPr>
        <w:pStyle w:val="NormalWeb"/>
        <w:bidi/>
        <w:spacing w:before="0" w:beforeAutospacing="0" w:after="0" w:afterAutospacing="0" w:line="216" w:lineRule="auto"/>
        <w:ind w:firstLine="515"/>
        <w:jc w:val="both"/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عندما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امتنع</w:t>
      </w:r>
      <w:r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 من امتنع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من دفع الزكاة بعد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 النبي 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-عليه الصلاة والسلام-، اختلف الصحابة في شأنهم وفي قتالهم، حتى قال من قال كعمر-رضي الله عنه-: "كيف تقاتل من يقول: لا إله إلا الله"؟، فقال أبو بكر: "والله لأُقاتلن من فرّق بين الصلاة والزكاة، والله لو منعوني عقالاً أو عناقاً يؤدونها إلى رسول الله -صلى الله عليه وسلم- لقاتلتهم عليها"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.</w:t>
      </w:r>
    </w:p>
    <w:p w14:paraId="27A6E63D" w14:textId="77777777" w:rsidR="00D451D4" w:rsidRPr="004D6C3A" w:rsidRDefault="00D451D4" w:rsidP="00D451D4">
      <w:pPr>
        <w:pStyle w:val="NormalWeb"/>
        <w:bidi/>
        <w:spacing w:before="0" w:beforeAutospacing="0" w:after="0" w:afterAutospacing="0" w:line="216" w:lineRule="auto"/>
        <w:ind w:firstLine="515"/>
        <w:jc w:val="both"/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</w:pP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فهذا ال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استدلال 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من 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أبي بكر -رضي الله عنه- على قتالهم بأنهم فرقوا بين الأختين، 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ف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الصلاة لا تكاد تذكر إلا ويذكر معها الزكاة،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 ف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استدل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اله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بهذ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ا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، يدل على أنه لا يحفظ حديث 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ابن عمر </w:t>
      </w:r>
      <w:r w:rsidRPr="00E2288E">
        <w:rPr>
          <w:rFonts w:ascii="Traditional Arabic" w:eastAsiaTheme="minorHAnsi" w:hAnsi="Traditional Arabic" w:cs="Traditional Arabic"/>
          <w:color w:val="0000FF"/>
          <w:sz w:val="28"/>
          <w:szCs w:val="28"/>
          <w:rtl/>
          <w:lang w:eastAsia="en-US"/>
        </w:rPr>
        <w:t>((أمرت أن أقاتل الناس حتى يشهدوا أن لا إله إلا الله، وأن محمداً رسول الله، ويقيموا الصلاة، ويؤتوا الزكاة))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أو 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أنه 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نسيه أو لم يبلغه، وإلا فالحديث صريح على قتال مانع الزكاة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: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</w:t>
      </w:r>
      <w:r w:rsidRPr="00E2288E">
        <w:rPr>
          <w:rFonts w:ascii="Traditional Arabic" w:eastAsiaTheme="minorHAnsi" w:hAnsi="Traditional Arabic" w:cs="Traditional Arabic"/>
          <w:color w:val="0000FF"/>
          <w:sz w:val="28"/>
          <w:szCs w:val="28"/>
          <w:rtl/>
          <w:lang w:eastAsia="en-US"/>
        </w:rPr>
        <w:t>((أمرت أن أقاتل))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.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ف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لو كان هذا الحديث حاضرًا عنده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،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أو بلغه لقال: قتالهم منصوص عليه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 في قول النبي -عليه الصلاة والسلام-:</w:t>
      </w:r>
      <w:r w:rsidRPr="004D6C3A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</w:t>
      </w:r>
      <w:r w:rsidRPr="00E2288E">
        <w:rPr>
          <w:rFonts w:ascii="Traditional Arabic" w:eastAsiaTheme="minorHAnsi" w:hAnsi="Traditional Arabic" w:cs="Traditional Arabic"/>
          <w:color w:val="0000FF"/>
          <w:sz w:val="28"/>
          <w:szCs w:val="28"/>
          <w:rtl/>
          <w:lang w:eastAsia="en-US"/>
        </w:rPr>
        <w:t>((أمرت أن أقاتل الناس حتى يشهدوا أن لا إله إلا الله، وأن محمداً رسول الله، ويقيموا الصلاة، ويؤتوا الزكاة))</w:t>
      </w:r>
      <w:r w:rsidRPr="004D6C3A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.</w:t>
      </w:r>
    </w:p>
    <w:p w14:paraId="48DB6B55" w14:textId="77777777" w:rsidR="00D451D4" w:rsidRDefault="00D451D4" w:rsidP="00D451D4">
      <w:pPr>
        <w:pStyle w:val="NormalWeb"/>
        <w:bidi/>
        <w:spacing w:before="0" w:beforeAutospacing="0" w:after="0" w:afterAutospacing="0" w:line="240" w:lineRule="atLeast"/>
        <w:jc w:val="both"/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وهذا يدل على أنه 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قد يخفى على الكبير ما يعرفه الصغير، فأبو بكر أفضل الأمة بعد نبيها - عليه الصلاة والسلام -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 ومع ذلك لم يحفظ هذا الحديث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وابن عمر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 -رضي الله عنهما-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حفظ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.</w:t>
      </w:r>
    </w:p>
    <w:p w14:paraId="24B1660F" w14:textId="77777777" w:rsidR="00D451D4" w:rsidRPr="0078759F" w:rsidRDefault="00D451D4" w:rsidP="00D451D4">
      <w:pPr>
        <w:pStyle w:val="NormalWeb"/>
        <w:bidi/>
        <w:spacing w:before="0" w:beforeAutospacing="0" w:after="0" w:afterAutospacing="0" w:line="240" w:lineRule="atLeast"/>
        <w:jc w:val="both"/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و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عمر - رضي الله تعالى عنه - الذي يلي أبا بكر في المنزلة خفي عليه حديث الاستئذان</w:t>
      </w:r>
      <w:r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،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الذي حفظه أبو موسى، وأبو سعيد من صغار الصحابة، هذا لا يعني: أن الإنسان إذا كان كبيراً في قدره</w:t>
      </w:r>
      <w:r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،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وفي علمه</w:t>
      </w:r>
      <w:r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،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وفي دينيه</w:t>
      </w:r>
      <w:r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،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أنه يكون أعلم من غيره مطلقاً، حتى لو قرر أن فلاناً أعلم من فلان، فهذا تفضيل جُمْلي</w:t>
      </w:r>
      <w:r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،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لا تفصيلي، فقد يكون عند المفضول ما ليس عند الفاضل 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-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كما هنا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-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، 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فكون 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ابن عمر عند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ه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هذا النص</w:t>
      </w:r>
      <w:r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،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ولم يستشهد به و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لم 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يستدل به أبو بكر دليل على أنه لم يستحضر</w:t>
      </w:r>
      <w:r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،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إما نسياناً</w:t>
      </w:r>
      <w:r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،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أو لعدم بلوغه إياه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.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</w:t>
      </w:r>
    </w:p>
    <w:p w14:paraId="44A5208B" w14:textId="77777777" w:rsidR="00D451D4" w:rsidRPr="0078759F" w:rsidRDefault="00D451D4" w:rsidP="00D451D4">
      <w:pPr>
        <w:pStyle w:val="NormalWeb"/>
        <w:bidi/>
        <w:spacing w:before="0" w:beforeAutospacing="0" w:after="0" w:afterAutospacing="0" w:line="240" w:lineRule="atLeast"/>
        <w:jc w:val="both"/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</w:pP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ولهذا لا يُقال: 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"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إن العالم لا يُنكر عليه</w:t>
      </w:r>
      <w:r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،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ولا يُنصح، وهو أعرف منا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"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، هذه كثير من العوام يحتجون بها، إذا اُستدل على حكم بحديث صحيح قال: 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"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الإمام أحمد أعرف منا بالحديث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>".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لا، لا يلزم قد يخفى عليه الحديث</w:t>
      </w:r>
      <w:r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،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وقد يفهم من الحديث ما لا يفهمه غيره، وقد يكون فهم غيره أرجح من فهمه،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 كما في الحديث: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</w:t>
      </w:r>
      <w:r w:rsidRPr="00E2288E">
        <w:rPr>
          <w:rFonts w:ascii="Traditional Arabic" w:eastAsiaTheme="minorHAnsi" w:hAnsi="Traditional Arabic" w:cs="Traditional Arabic"/>
          <w:color w:val="0000FF"/>
          <w:sz w:val="28"/>
          <w:szCs w:val="28"/>
          <w:rtl/>
          <w:lang w:eastAsia="en-US"/>
        </w:rPr>
        <w:t>((ورب مبلغ أوعى من سامع))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، وسليمان -عليه السلام - استمع إلى الهدهد واستفاد منه</w:t>
      </w:r>
      <w:r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،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ودخل بسببه الإسلام أمة. </w:t>
      </w:r>
    </w:p>
    <w:p w14:paraId="1DFCBA2D" w14:textId="0DDE5F33" w:rsidR="00DB33AD" w:rsidRDefault="00D451D4" w:rsidP="00D451D4">
      <w:r w:rsidRPr="0078759F">
        <w:rPr>
          <w:rFonts w:ascii="Traditional Arabic" w:hAnsi="Traditional Arabic"/>
          <w:sz w:val="28"/>
          <w:szCs w:val="28"/>
          <w:rtl/>
        </w:rPr>
        <w:t>على كل حال من علم ومن حفظ حجة</w:t>
      </w:r>
      <w:r w:rsidRPr="0078759F">
        <w:rPr>
          <w:rFonts w:ascii="Traditional Arabic" w:hAnsi="Traditional Arabic" w:hint="cs"/>
          <w:sz w:val="28"/>
          <w:szCs w:val="28"/>
          <w:rtl/>
        </w:rPr>
        <w:t>ٌ</w:t>
      </w:r>
      <w:r w:rsidRPr="0078759F">
        <w:rPr>
          <w:rFonts w:ascii="Traditional Arabic" w:hAnsi="Traditional Arabic"/>
          <w:sz w:val="28"/>
          <w:szCs w:val="28"/>
          <w:rtl/>
        </w:rPr>
        <w:t xml:space="preserve"> على من لم يحفظ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E1"/>
    <w:rsid w:val="002D3EA3"/>
    <w:rsid w:val="00530D34"/>
    <w:rsid w:val="006E515B"/>
    <w:rsid w:val="007E3AE1"/>
    <w:rsid w:val="0095429D"/>
    <w:rsid w:val="00D451D4"/>
    <w:rsid w:val="00DB33AD"/>
    <w:rsid w:val="00E2288E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C635C-9191-42E2-92CB-6DC2A453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D4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451D4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2021-07-22T02:04:00Z</dcterms:created>
  <dcterms:modified xsi:type="dcterms:W3CDTF">2021-07-22T15:35:00Z</dcterms:modified>
</cp:coreProperties>
</file>