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6AB" w:rsidRPr="009B5E33" w:rsidRDefault="004816AB" w:rsidP="00AD6964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B5E33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قاعدة: ما يُستخبث ويستقذر يحرم أكله</w:t>
      </w:r>
    </w:p>
    <w:p w:rsidR="004816AB" w:rsidRPr="009B5E33" w:rsidRDefault="004816AB" w:rsidP="00AD6964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أحكام الأطعمة</w:t>
      </w:r>
    </w:p>
    <w:p w:rsidR="00B323AA" w:rsidRDefault="004816AB" w:rsidP="00AD6964">
      <w:pPr>
        <w:jc w:val="both"/>
      </w:pPr>
      <w:r w:rsidRPr="009B5E33">
        <w:rPr>
          <w:rFonts w:ascii="Simplified Arabic" w:hAnsi="Simplified Arabic" w:cs="Simplified Arabic" w:hint="cs"/>
          <w:sz w:val="28"/>
          <w:szCs w:val="28"/>
          <w:rtl/>
        </w:rPr>
        <w:t xml:space="preserve">مما نص أهل العلم على كراهيته للصائم: بلع النخامة، بل قالوا: إنه يحرم بلعها، سواء كانت من الجوف أو من الصدر أو من الدماغ، ويستوي في ذلك الصائم وغيره؛ لأنها مما يستقذرـ وهذه قاعدة عند أهل العلم: </w:t>
      </w:r>
      <w:bookmarkStart w:id="0" w:name="_GoBack"/>
      <w:bookmarkEnd w:id="0"/>
      <w:r w:rsidRPr="009B5E33">
        <w:rPr>
          <w:rFonts w:ascii="Simplified Arabic" w:hAnsi="Simplified Arabic" w:cs="Simplified Arabic" w:hint="cs"/>
          <w:sz w:val="28"/>
          <w:szCs w:val="28"/>
          <w:rtl/>
        </w:rPr>
        <w:t xml:space="preserve">أن ما يُستخبث ويستقذر يحرم تناوله وأكله، من باب قوله تعالى: 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وَيُحِلُّ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لَهُمُ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الطَّيِّبَاتِ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وَيُحَرِّمُ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عَلَيْهِمُ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9B5E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الْخَبَائِثَ</w:t>
      </w:r>
      <w:r w:rsidRPr="009B5E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} </w:t>
      </w:r>
      <w:r w:rsidRPr="009B5E33">
        <w:rPr>
          <w:rFonts w:ascii="Simplified Arabic" w:hAnsi="Simplified Arabic" w:cs="Simplified Arabic"/>
          <w:sz w:val="28"/>
          <w:szCs w:val="28"/>
          <w:rtl/>
        </w:rPr>
        <w:t>[</w:t>
      </w:r>
      <w:r w:rsidRPr="009B5E33">
        <w:rPr>
          <w:rFonts w:ascii="Simplified Arabic" w:hAnsi="Simplified Arabic" w:cs="Simplified Arabic" w:hint="cs"/>
          <w:sz w:val="28"/>
          <w:szCs w:val="28"/>
          <w:rtl/>
        </w:rPr>
        <w:t>الأعراف</w:t>
      </w:r>
      <w:r w:rsidRPr="009B5E33">
        <w:rPr>
          <w:rFonts w:ascii="Simplified Arabic" w:hAnsi="Simplified Arabic" w:cs="Simplified Arabic"/>
          <w:sz w:val="28"/>
          <w:szCs w:val="28"/>
          <w:rtl/>
        </w:rPr>
        <w:t>: 157]</w:t>
      </w:r>
      <w:r w:rsidRPr="009B5E3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680FB2-809A-46C1-A80D-4B2D171220B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2296106-CB67-4A94-BA76-B3CA3E71D8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13A2B81-A9F5-4B8A-83F6-07C501784B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F216A0-BCF6-4647-9099-E3CC946B462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C89E3B7-377A-45FC-BBFC-3A8B12C5E8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AA29CC-F49A-4CF4-887B-17027DCEBD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E1"/>
    <w:rsid w:val="002E34E1"/>
    <w:rsid w:val="004816AB"/>
    <w:rsid w:val="0073647D"/>
    <w:rsid w:val="00AD6964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4366A-34CD-441C-97F8-11F5226C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6A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2016-05-11T11:00:00Z</dcterms:created>
  <dcterms:modified xsi:type="dcterms:W3CDTF">2017-01-02T13:09:00Z</dcterms:modified>
</cp:coreProperties>
</file>